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5D" w:rsidRDefault="00DC625D" w:rsidP="00DC625D">
      <w:pPr>
        <w:autoSpaceDE w:val="0"/>
        <w:autoSpaceDN w:val="0"/>
        <w:adjustRightInd w:val="0"/>
        <w:rPr>
          <w:rFonts w:ascii="Calibri" w:hAnsi="Calibri" w:cs="Calibri"/>
        </w:rPr>
      </w:pPr>
      <w:r>
        <w:rPr>
          <w:rFonts w:ascii="Times New Roman" w:hAnsi="Times New Roman" w:cs="Times New Roman"/>
          <w:b/>
          <w:bCs/>
        </w:rPr>
        <w:t>History of Poverty and Homelessness</w:t>
      </w:r>
    </w:p>
    <w:p w:rsidR="00DC625D" w:rsidRDefault="00DC625D" w:rsidP="00DC625D">
      <w:pPr>
        <w:autoSpaceDE w:val="0"/>
        <w:autoSpaceDN w:val="0"/>
        <w:adjustRightInd w:val="0"/>
        <w:rPr>
          <w:rFonts w:ascii="Calibri" w:hAnsi="Calibri" w:cs="Calibri"/>
        </w:rPr>
      </w:pPr>
      <w:r>
        <w:rPr>
          <w:rFonts w:ascii="Times New Roman" w:hAnsi="Times New Roman" w:cs="Times New Roman"/>
          <w:b/>
          <w:bCs/>
        </w:rPr>
        <w:t>HIS 397/9</w:t>
      </w:r>
    </w:p>
    <w:p w:rsidR="00DC625D" w:rsidRDefault="00DC625D" w:rsidP="00DC625D">
      <w:pPr>
        <w:autoSpaceDE w:val="0"/>
        <w:autoSpaceDN w:val="0"/>
        <w:adjustRightInd w:val="0"/>
        <w:rPr>
          <w:rFonts w:ascii="Calibri" w:hAnsi="Calibri" w:cs="Calibri"/>
        </w:rPr>
      </w:pPr>
      <w:r>
        <w:rPr>
          <w:rFonts w:ascii="Times New Roman" w:hAnsi="Times New Roman" w:cs="Times New Roman"/>
          <w:b/>
          <w:bCs/>
        </w:rPr>
        <w:t>TTH 1pm-5pm</w:t>
      </w:r>
    </w:p>
    <w:p w:rsidR="00DC625D" w:rsidRDefault="00DC625D" w:rsidP="00DC625D">
      <w:pPr>
        <w:autoSpaceDE w:val="0"/>
        <w:autoSpaceDN w:val="0"/>
        <w:adjustRightInd w:val="0"/>
        <w:rPr>
          <w:rFonts w:ascii="Calibri" w:hAnsi="Calibri" w:cs="Calibri"/>
        </w:rPr>
      </w:pPr>
      <w:r>
        <w:rPr>
          <w:rFonts w:ascii="Times New Roman" w:hAnsi="Times New Roman" w:cs="Times New Roman"/>
          <w:b/>
          <w:bCs/>
        </w:rPr>
        <w:t>Wayne Hall 104C</w:t>
      </w:r>
    </w:p>
    <w:p w:rsidR="00DC625D" w:rsidRDefault="00DC625D" w:rsidP="00DC625D">
      <w:pPr>
        <w:autoSpaceDE w:val="0"/>
        <w:autoSpaceDN w:val="0"/>
        <w:adjustRightInd w:val="0"/>
        <w:rPr>
          <w:rFonts w:ascii="Calibri" w:hAnsi="Calibri" w:cs="Calibri"/>
        </w:rPr>
      </w:pPr>
    </w:p>
    <w:p w:rsidR="00DC625D" w:rsidRDefault="00DC625D" w:rsidP="00DC625D">
      <w:pPr>
        <w:autoSpaceDE w:val="0"/>
        <w:autoSpaceDN w:val="0"/>
        <w:adjustRightInd w:val="0"/>
        <w:rPr>
          <w:rFonts w:ascii="Calibri" w:hAnsi="Calibri" w:cs="Calibri"/>
        </w:rPr>
      </w:pPr>
      <w:r>
        <w:rPr>
          <w:rFonts w:ascii="Times New Roman" w:hAnsi="Times New Roman" w:cs="Times New Roman"/>
        </w:rPr>
        <w:t>*Credits count towards US, Europe, and World History </w:t>
      </w:r>
    </w:p>
    <w:p w:rsidR="00DC625D" w:rsidRDefault="00DC625D" w:rsidP="00DC625D">
      <w:pPr>
        <w:autoSpaceDE w:val="0"/>
        <w:autoSpaceDN w:val="0"/>
        <w:adjustRightInd w:val="0"/>
        <w:rPr>
          <w:rFonts w:ascii="Times New Roman" w:hAnsi="Times New Roman" w:cs="Times New Roman"/>
        </w:rPr>
      </w:pPr>
    </w:p>
    <w:p w:rsidR="00DC625D" w:rsidRDefault="00DC625D" w:rsidP="00DC625D">
      <w:pPr>
        <w:autoSpaceDE w:val="0"/>
        <w:autoSpaceDN w:val="0"/>
        <w:adjustRightInd w:val="0"/>
        <w:rPr>
          <w:rFonts w:ascii="Calibri" w:hAnsi="Calibri" w:cs="Calibri"/>
        </w:rPr>
      </w:pPr>
      <w:r>
        <w:rPr>
          <w:rFonts w:ascii="Times New Roman" w:hAnsi="Times New Roman" w:cs="Times New Roman"/>
        </w:rPr>
        <w:t>The History of Poverty and Homelessness will offer an examination of the diverse societal perceptions of homelessness and poverty, and how those perceptions have shifted over time and across distance. Students will also study changes in government policy and how changing policy has affected people experiencing homelessness. It is the intention of this course to provide a framework for understanding the root causes of the expansion of homelessness in the U.S., and to convey a sense of the experience of homelessness and its consequences. To that effect, we will be examining issues surrounding poverty, specifically: race, labor, prison, education, and housing. There will be exploration of the current efforts to meet the immediate needs of the homeless in the US and internationally. The course will empower students to advocate for sustainable changes which can prevent homelessness. Students will glean a deeper understanding of homelessness through readings and class discussions, and optionally through interacting with people who are experiencing homelessness at the Student-Run Emergency Housing Unit of Philadelphia.</w:t>
      </w:r>
    </w:p>
    <w:p w:rsidR="00DC625D" w:rsidRDefault="00DC625D" w:rsidP="00DC625D">
      <w:pPr>
        <w:autoSpaceDE w:val="0"/>
        <w:autoSpaceDN w:val="0"/>
        <w:adjustRightInd w:val="0"/>
        <w:rPr>
          <w:rFonts w:ascii="Calibri" w:hAnsi="Calibri" w:cs="Calibri"/>
        </w:rPr>
      </w:pPr>
      <w:r>
        <w:rPr>
          <w:rFonts w:ascii="Calibri" w:hAnsi="Calibri" w:cs="Calibri"/>
        </w:rPr>
        <w:t> </w:t>
      </w:r>
    </w:p>
    <w:p w:rsidR="00DC625D" w:rsidRDefault="00DC625D" w:rsidP="00DC625D">
      <w:pPr>
        <w:autoSpaceDE w:val="0"/>
        <w:autoSpaceDN w:val="0"/>
        <w:adjustRightInd w:val="0"/>
        <w:rPr>
          <w:rFonts w:ascii="Calibri" w:hAnsi="Calibri" w:cs="Calibri"/>
        </w:rPr>
      </w:pPr>
      <w:r>
        <w:rPr>
          <w:rFonts w:ascii="Calibri" w:hAnsi="Calibri" w:cs="Calibri"/>
        </w:rPr>
        <w:t xml:space="preserve">Stephanie </w:t>
      </w:r>
      <w:proofErr w:type="spellStart"/>
      <w:r>
        <w:rPr>
          <w:rFonts w:ascii="Calibri" w:hAnsi="Calibri" w:cs="Calibri"/>
        </w:rPr>
        <w:t>Sena</w:t>
      </w:r>
      <w:proofErr w:type="spellEnd"/>
      <w:r>
        <w:rPr>
          <w:rFonts w:ascii="Calibri" w:hAnsi="Calibri" w:cs="Calibri"/>
        </w:rPr>
        <w:t xml:space="preserve"> is a history professor in Villanova University’s Center for Peace and Justice. She is the recipient of The </w:t>
      </w:r>
      <w:proofErr w:type="spellStart"/>
      <w:r>
        <w:rPr>
          <w:rFonts w:ascii="Calibri" w:hAnsi="Calibri" w:cs="Calibri"/>
        </w:rPr>
        <w:t>Pohlhaus-Stracciolini</w:t>
      </w:r>
      <w:proofErr w:type="spellEnd"/>
      <w:r>
        <w:rPr>
          <w:rFonts w:ascii="Calibri" w:hAnsi="Calibri" w:cs="Calibri"/>
        </w:rPr>
        <w:t xml:space="preserve"> Award for Teaching Excellence </w:t>
      </w:r>
      <w:proofErr w:type="gramStart"/>
      <w:r>
        <w:rPr>
          <w:rFonts w:ascii="Calibri" w:hAnsi="Calibri" w:cs="Calibri"/>
        </w:rPr>
        <w:t>is presented</w:t>
      </w:r>
      <w:proofErr w:type="gramEnd"/>
      <w:r>
        <w:rPr>
          <w:rFonts w:ascii="Calibri" w:hAnsi="Calibri" w:cs="Calibri"/>
        </w:rPr>
        <w:t xml:space="preserve"> to an adjunct faculty member who demonstrates a commitment to the life of the mind and to the well-being of students through teaching that is intellectually stimulating, challenging, and accessible, with efforts extending beyond the classroom. Stephanie founded SREHUP- The Student-Run Emergency Housing Unit of Philadelphia in 2011 with a group of Villanovans that wanted to make a difference. The shelter now has over 300 volunteers from over 8 university chapters, houses hundreds of people, and is opening the first p</w:t>
      </w:r>
      <w:r>
        <w:rPr>
          <w:rFonts w:ascii="Calibri" w:hAnsi="Calibri" w:cs="Calibri"/>
        </w:rPr>
        <w:t>et-friendly shelter on the East</w:t>
      </w:r>
      <w:r>
        <w:rPr>
          <w:rFonts w:ascii="Calibri" w:hAnsi="Calibri" w:cs="Calibri"/>
        </w:rPr>
        <w:t xml:space="preserve"> Coast. Stephanie travels all over the country and world to learn best practices in fighting poverty. She fights tirelessly to end homelessness in </w:t>
      </w:r>
      <w:proofErr w:type="gramStart"/>
      <w:r>
        <w:rPr>
          <w:rFonts w:ascii="Calibri" w:hAnsi="Calibri" w:cs="Calibri"/>
        </w:rPr>
        <w:t>Philadelphia, and</w:t>
      </w:r>
      <w:proofErr w:type="gramEnd"/>
      <w:r>
        <w:rPr>
          <w:rFonts w:ascii="Calibri" w:hAnsi="Calibri" w:cs="Calibri"/>
        </w:rPr>
        <w:t xml:space="preserve"> makes her world famous Mat</w:t>
      </w:r>
      <w:r>
        <w:rPr>
          <w:rFonts w:ascii="Calibri" w:hAnsi="Calibri" w:cs="Calibri"/>
        </w:rPr>
        <w:t>zah Ball Soup for ardent SREHUP supporters.</w:t>
      </w:r>
    </w:p>
    <w:tbl>
      <w:tblPr>
        <w:tblW w:w="0" w:type="auto"/>
        <w:tblInd w:w="-108" w:type="dxa"/>
        <w:tblBorders>
          <w:top w:val="nil"/>
          <w:left w:val="nil"/>
          <w:right w:val="nil"/>
        </w:tblBorders>
        <w:tblLayout w:type="fixed"/>
        <w:tblLook w:val="0000" w:firstRow="0" w:lastRow="0" w:firstColumn="0" w:lastColumn="0" w:noHBand="0" w:noVBand="0"/>
      </w:tblPr>
      <w:tblGrid>
        <w:gridCol w:w="5000"/>
      </w:tblGrid>
      <w:tr w:rsidR="00DC625D">
        <w:tblPrEx>
          <w:tblCellMar>
            <w:top w:w="0" w:type="dxa"/>
            <w:bottom w:w="0" w:type="dxa"/>
          </w:tblCellMar>
        </w:tblPrEx>
        <w:tc>
          <w:tcPr>
            <w:tcW w:w="5000" w:type="dxa"/>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8748"/>
            </w:tblGrid>
            <w:tr w:rsidR="00DC625D">
              <w:tblPrEx>
                <w:tblCellMar>
                  <w:top w:w="0" w:type="dxa"/>
                  <w:left w:w="0" w:type="dxa"/>
                  <w:bottom w:w="0" w:type="dxa"/>
                  <w:right w:w="0" w:type="dxa"/>
                </w:tblCellMar>
              </w:tblPrEx>
              <w:tc>
                <w:tcPr>
                  <w:tcW w:w="5000" w:type="dxa"/>
                  <w:tcBorders>
                    <w:top w:val="nil"/>
                    <w:left w:val="nil"/>
                    <w:bottom w:val="nil"/>
                    <w:right w:val="nil"/>
                  </w:tcBorders>
                </w:tcPr>
                <w:p w:rsidR="00DC625D" w:rsidRDefault="00DC625D">
                  <w:pPr>
                    <w:autoSpaceDE w:val="0"/>
                    <w:autoSpaceDN w:val="0"/>
                    <w:adjustRightInd w:val="0"/>
                    <w:rPr>
                      <w:rFonts w:ascii="Calibri" w:hAnsi="Calibri" w:cs="Calibri"/>
                      <w:color w:val="0000E9"/>
                      <w:sz w:val="22"/>
                      <w:szCs w:val="22"/>
                      <w:u w:val="single" w:color="0000E9"/>
                    </w:rPr>
                  </w:pPr>
                  <w:bookmarkStart w:id="0" w:name="_GoBack"/>
                  <w:r>
                    <w:rPr>
                      <w:rFonts w:ascii="Calibri" w:hAnsi="Calibri" w:cs="Calibri"/>
                      <w:noProof/>
                      <w:color w:val="0000E9"/>
                      <w:sz w:val="22"/>
                      <w:szCs w:val="22"/>
                    </w:rPr>
                    <w:lastRenderedPageBreak/>
                    <w:drawing>
                      <wp:inline distT="0" distB="0" distL="0" distR="0">
                        <wp:extent cx="5378260" cy="3019555"/>
                        <wp:effectExtent l="0" t="0" r="0" b="3175"/>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020" cy="3029526"/>
                                </a:xfrm>
                                <a:prstGeom prst="rect">
                                  <a:avLst/>
                                </a:prstGeom>
                                <a:noFill/>
                                <a:ln>
                                  <a:noFill/>
                                </a:ln>
                              </pic:spPr>
                            </pic:pic>
                          </a:graphicData>
                        </a:graphic>
                      </wp:inline>
                    </w:drawing>
                  </w:r>
                  <w:bookmarkEnd w:id="0"/>
                </w:p>
              </w:tc>
            </w:tr>
          </w:tbl>
          <w:p w:rsidR="00DC625D" w:rsidRDefault="00DC625D">
            <w:pPr>
              <w:autoSpaceDE w:val="0"/>
              <w:autoSpaceDN w:val="0"/>
              <w:adjustRightInd w:val="0"/>
              <w:rPr>
                <w:rFonts w:ascii="Calibri" w:hAnsi="Calibri" w:cs="Calibri"/>
                <w:sz w:val="22"/>
                <w:szCs w:val="22"/>
                <w:u w:color="0000E9"/>
              </w:rPr>
            </w:pPr>
          </w:p>
          <w:p w:rsidR="00DC625D" w:rsidRDefault="00DC625D">
            <w:pPr>
              <w:autoSpaceDE w:val="0"/>
              <w:autoSpaceDN w:val="0"/>
              <w:adjustRightInd w:val="0"/>
              <w:rPr>
                <w:rFonts w:ascii="Tahoma" w:hAnsi="Tahoma" w:cs="Tahoma"/>
                <w:color w:val="0B61CD"/>
                <w:sz w:val="32"/>
                <w:szCs w:val="32"/>
                <w:u w:color="0000E9"/>
              </w:rPr>
            </w:pPr>
            <w:hyperlink r:id="rId6" w:history="1">
              <w:r>
                <w:rPr>
                  <w:rFonts w:ascii="Tahoma" w:hAnsi="Tahoma" w:cs="Tahoma"/>
                  <w:color w:val="0000E9"/>
                  <w:sz w:val="32"/>
                  <w:szCs w:val="32"/>
                  <w:u w:color="0000E9"/>
                </w:rPr>
                <w:t>This Student-Run Philadelphia Shelter Wants to ... - Impact</w:t>
              </w:r>
            </w:hyperlink>
          </w:p>
          <w:p w:rsidR="00DC625D" w:rsidRDefault="00DC625D">
            <w:pPr>
              <w:autoSpaceDE w:val="0"/>
              <w:autoSpaceDN w:val="0"/>
              <w:adjustRightInd w:val="0"/>
              <w:rPr>
                <w:rFonts w:ascii="Tahoma" w:hAnsi="Tahoma" w:cs="Tahoma"/>
                <w:color w:val="535353"/>
                <w:sz w:val="22"/>
                <w:szCs w:val="22"/>
                <w:u w:color="0000E9"/>
              </w:rPr>
            </w:pPr>
            <w:r>
              <w:rPr>
                <w:rFonts w:ascii="Tahoma" w:hAnsi="Tahoma" w:cs="Tahoma"/>
                <w:color w:val="535353"/>
                <w:sz w:val="22"/>
                <w:szCs w:val="22"/>
                <w:u w:color="0000E9"/>
              </w:rPr>
              <w:t>impact.vice.com</w:t>
            </w:r>
          </w:p>
          <w:p w:rsidR="00DC625D" w:rsidRDefault="00DC625D">
            <w:pPr>
              <w:autoSpaceDE w:val="0"/>
              <w:autoSpaceDN w:val="0"/>
              <w:adjustRightInd w:val="0"/>
              <w:rPr>
                <w:rFonts w:ascii="Tahoma" w:hAnsi="Tahoma" w:cs="Tahoma"/>
                <w:color w:val="535353"/>
                <w:sz w:val="22"/>
                <w:szCs w:val="22"/>
                <w:u w:color="0000E9"/>
              </w:rPr>
            </w:pPr>
            <w:r>
              <w:rPr>
                <w:rFonts w:ascii="Tahoma" w:hAnsi="Tahoma" w:cs="Tahoma"/>
                <w:color w:val="535353"/>
                <w:sz w:val="22"/>
                <w:szCs w:val="22"/>
                <w:u w:color="0000E9"/>
              </w:rPr>
              <w:t>At this shelter, the lives of the people experiencing homelessness matter.</w:t>
            </w:r>
          </w:p>
        </w:tc>
        <w:tc>
          <w:tcPr>
            <w:tcW w:w="5000" w:type="dxa"/>
          </w:tcPr>
          <w:p w:rsidR="00DC625D" w:rsidRDefault="00DC625D">
            <w:pPr>
              <w:autoSpaceDE w:val="0"/>
              <w:autoSpaceDN w:val="0"/>
              <w:adjustRightInd w:val="0"/>
              <w:rPr>
                <w:rFonts w:ascii="Tahoma" w:hAnsi="Tahoma" w:cs="Tahoma"/>
                <w:color w:val="535353"/>
                <w:sz w:val="22"/>
                <w:szCs w:val="22"/>
                <w:u w:color="0000E9"/>
              </w:rPr>
            </w:pPr>
          </w:p>
        </w:tc>
      </w:tr>
    </w:tbl>
    <w:p w:rsidR="00DC625D" w:rsidRDefault="00DC625D" w:rsidP="00DC625D">
      <w:pPr>
        <w:autoSpaceDE w:val="0"/>
        <w:autoSpaceDN w:val="0"/>
        <w:adjustRightInd w:val="0"/>
        <w:rPr>
          <w:rFonts w:ascii="Calibri" w:hAnsi="Calibri" w:cs="Calibri"/>
          <w:u w:color="0000E9"/>
        </w:rPr>
      </w:pPr>
    </w:p>
    <w:p w:rsidR="00DC625D" w:rsidRDefault="00DC625D" w:rsidP="00DC625D">
      <w:pPr>
        <w:autoSpaceDE w:val="0"/>
        <w:autoSpaceDN w:val="0"/>
        <w:adjustRightInd w:val="0"/>
        <w:rPr>
          <w:rFonts w:ascii="Calibri" w:hAnsi="Calibri" w:cs="Calibri"/>
          <w:u w:color="0000E9"/>
        </w:rPr>
      </w:pPr>
    </w:p>
    <w:tbl>
      <w:tblPr>
        <w:tblW w:w="0" w:type="auto"/>
        <w:tblInd w:w="-108" w:type="dxa"/>
        <w:tblBorders>
          <w:top w:val="nil"/>
          <w:left w:val="nil"/>
          <w:right w:val="nil"/>
        </w:tblBorders>
        <w:tblLayout w:type="fixed"/>
        <w:tblLook w:val="0000" w:firstRow="0" w:lastRow="0" w:firstColumn="0" w:lastColumn="0" w:noHBand="0" w:noVBand="0"/>
      </w:tblPr>
      <w:tblGrid>
        <w:gridCol w:w="5000"/>
      </w:tblGrid>
      <w:tr w:rsidR="00DC625D">
        <w:tblPrEx>
          <w:tblCellMar>
            <w:top w:w="0" w:type="dxa"/>
            <w:bottom w:w="0" w:type="dxa"/>
          </w:tblCellMar>
        </w:tblPrEx>
        <w:tc>
          <w:tcPr>
            <w:tcW w:w="5000" w:type="dxa"/>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8748"/>
            </w:tblGrid>
            <w:tr w:rsidR="00DC625D">
              <w:tblPrEx>
                <w:tblCellMar>
                  <w:top w:w="0" w:type="dxa"/>
                  <w:left w:w="0" w:type="dxa"/>
                  <w:bottom w:w="0" w:type="dxa"/>
                  <w:right w:w="0" w:type="dxa"/>
                </w:tblCellMar>
              </w:tblPrEx>
              <w:tc>
                <w:tcPr>
                  <w:tcW w:w="5000" w:type="dxa"/>
                  <w:tcBorders>
                    <w:top w:val="nil"/>
                    <w:left w:val="nil"/>
                    <w:bottom w:val="nil"/>
                    <w:right w:val="nil"/>
                  </w:tcBorders>
                </w:tcPr>
                <w:p w:rsidR="00DC625D" w:rsidRDefault="00DC625D">
                  <w:pPr>
                    <w:autoSpaceDE w:val="0"/>
                    <w:autoSpaceDN w:val="0"/>
                    <w:adjustRightInd w:val="0"/>
                    <w:rPr>
                      <w:rFonts w:ascii="Calibri" w:hAnsi="Calibri" w:cs="Calibri"/>
                      <w:color w:val="0000E9"/>
                      <w:sz w:val="22"/>
                      <w:szCs w:val="22"/>
                      <w:u w:val="single" w:color="0000E9"/>
                    </w:rPr>
                  </w:pPr>
                  <w:r>
                    <w:rPr>
                      <w:rFonts w:ascii="Calibri" w:hAnsi="Calibri" w:cs="Calibri"/>
                      <w:noProof/>
                      <w:color w:val="0000E9"/>
                      <w:sz w:val="22"/>
                      <w:szCs w:val="22"/>
                      <w:u w:color="0000E9"/>
                    </w:rPr>
                    <w:drawing>
                      <wp:inline distT="0" distB="0" distL="0" distR="0">
                        <wp:extent cx="1908175" cy="1065530"/>
                        <wp:effectExtent l="0" t="0" r="0" b="127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065530"/>
                                </a:xfrm>
                                <a:prstGeom prst="rect">
                                  <a:avLst/>
                                </a:prstGeom>
                                <a:noFill/>
                                <a:ln>
                                  <a:noFill/>
                                </a:ln>
                              </pic:spPr>
                            </pic:pic>
                          </a:graphicData>
                        </a:graphic>
                      </wp:inline>
                    </w:drawing>
                  </w:r>
                </w:p>
              </w:tc>
            </w:tr>
          </w:tbl>
          <w:p w:rsidR="00DC625D" w:rsidRDefault="00DC625D">
            <w:pPr>
              <w:autoSpaceDE w:val="0"/>
              <w:autoSpaceDN w:val="0"/>
              <w:adjustRightInd w:val="0"/>
              <w:rPr>
                <w:rFonts w:ascii="Calibri" w:hAnsi="Calibri" w:cs="Calibri"/>
                <w:sz w:val="22"/>
                <w:szCs w:val="22"/>
                <w:u w:color="0000E9"/>
              </w:rPr>
            </w:pPr>
          </w:p>
          <w:p w:rsidR="00DC625D" w:rsidRDefault="00DC625D">
            <w:pPr>
              <w:autoSpaceDE w:val="0"/>
              <w:autoSpaceDN w:val="0"/>
              <w:adjustRightInd w:val="0"/>
              <w:rPr>
                <w:rFonts w:ascii="Tahoma" w:hAnsi="Tahoma" w:cs="Tahoma"/>
                <w:color w:val="0B61CD"/>
                <w:sz w:val="32"/>
                <w:szCs w:val="32"/>
                <w:u w:color="0000E9"/>
              </w:rPr>
            </w:pPr>
            <w:hyperlink r:id="rId9" w:history="1">
              <w:r>
                <w:rPr>
                  <w:rFonts w:ascii="Tahoma" w:hAnsi="Tahoma" w:cs="Tahoma"/>
                  <w:color w:val="0000E9"/>
                  <w:sz w:val="32"/>
                  <w:szCs w:val="32"/>
                  <w:u w:color="0000E9"/>
                </w:rPr>
                <w:t xml:space="preserve">Igniting the social justice generation | Stephanie </w:t>
              </w:r>
              <w:proofErr w:type="spellStart"/>
              <w:r>
                <w:rPr>
                  <w:rFonts w:ascii="Tahoma" w:hAnsi="Tahoma" w:cs="Tahoma"/>
                  <w:color w:val="0000E9"/>
                  <w:sz w:val="32"/>
                  <w:szCs w:val="32"/>
                  <w:u w:color="0000E9"/>
                </w:rPr>
                <w:t>Sena</w:t>
              </w:r>
              <w:proofErr w:type="spellEnd"/>
              <w:r>
                <w:rPr>
                  <w:rFonts w:ascii="Tahoma" w:hAnsi="Tahoma" w:cs="Tahoma"/>
                  <w:color w:val="0000E9"/>
                  <w:sz w:val="32"/>
                  <w:szCs w:val="32"/>
                  <w:u w:color="0000E9"/>
                </w:rPr>
                <w:t xml:space="preserve"> | </w:t>
              </w:r>
              <w:proofErr w:type="spellStart"/>
              <w:r>
                <w:rPr>
                  <w:rFonts w:ascii="Tahoma" w:hAnsi="Tahoma" w:cs="Tahoma"/>
                  <w:color w:val="0000E9"/>
                  <w:sz w:val="32"/>
                  <w:szCs w:val="32"/>
                  <w:u w:color="0000E9"/>
                </w:rPr>
                <w:t>TEDxVillanovaU</w:t>
              </w:r>
              <w:proofErr w:type="spellEnd"/>
            </w:hyperlink>
          </w:p>
          <w:p w:rsidR="00DC625D" w:rsidRDefault="00DC625D">
            <w:pPr>
              <w:autoSpaceDE w:val="0"/>
              <w:autoSpaceDN w:val="0"/>
              <w:adjustRightInd w:val="0"/>
              <w:rPr>
                <w:rFonts w:ascii="Tahoma" w:hAnsi="Tahoma" w:cs="Tahoma"/>
                <w:color w:val="535353"/>
                <w:sz w:val="22"/>
                <w:szCs w:val="22"/>
                <w:u w:color="0000E9"/>
              </w:rPr>
            </w:pPr>
            <w:r>
              <w:rPr>
                <w:rFonts w:ascii="Tahoma" w:hAnsi="Tahoma" w:cs="Tahoma"/>
                <w:color w:val="535353"/>
                <w:sz w:val="22"/>
                <w:szCs w:val="22"/>
                <w:u w:color="0000E9"/>
              </w:rPr>
              <w:t>www.youtube.com</w:t>
            </w:r>
          </w:p>
          <w:p w:rsidR="00DC625D" w:rsidRDefault="00DC625D">
            <w:pPr>
              <w:autoSpaceDE w:val="0"/>
              <w:autoSpaceDN w:val="0"/>
              <w:adjustRightInd w:val="0"/>
              <w:rPr>
                <w:rFonts w:ascii="Tahoma" w:hAnsi="Tahoma" w:cs="Tahoma"/>
                <w:color w:val="535353"/>
                <w:sz w:val="22"/>
                <w:szCs w:val="22"/>
                <w:u w:color="0000E9"/>
              </w:rPr>
            </w:pPr>
            <w:r>
              <w:rPr>
                <w:rFonts w:ascii="Tahoma" w:hAnsi="Tahoma" w:cs="Tahoma"/>
                <w:color w:val="535353"/>
                <w:sz w:val="22"/>
                <w:szCs w:val="22"/>
                <w:u w:color="0000E9"/>
              </w:rPr>
              <w:t xml:space="preserve">The Social Justice Generation is a talk about the power of engaging the youth of America is the work of ending chronic homelessness. Speaker Stephanie </w:t>
            </w:r>
            <w:proofErr w:type="spellStart"/>
            <w:r>
              <w:rPr>
                <w:rFonts w:ascii="Tahoma" w:hAnsi="Tahoma" w:cs="Tahoma"/>
                <w:color w:val="535353"/>
                <w:sz w:val="22"/>
                <w:szCs w:val="22"/>
                <w:u w:color="0000E9"/>
              </w:rPr>
              <w:t>Sena</w:t>
            </w:r>
            <w:proofErr w:type="spellEnd"/>
            <w:r>
              <w:rPr>
                <w:rFonts w:ascii="Tahoma" w:hAnsi="Tahoma" w:cs="Tahoma"/>
                <w:color w:val="535353"/>
                <w:sz w:val="22"/>
                <w:szCs w:val="22"/>
                <w:u w:color="0000E9"/>
              </w:rPr>
              <w:t xml:space="preserve"> has been ...</w:t>
            </w:r>
          </w:p>
        </w:tc>
        <w:tc>
          <w:tcPr>
            <w:tcW w:w="5000" w:type="dxa"/>
          </w:tcPr>
          <w:p w:rsidR="00DC625D" w:rsidRDefault="00DC625D">
            <w:pPr>
              <w:autoSpaceDE w:val="0"/>
              <w:autoSpaceDN w:val="0"/>
              <w:adjustRightInd w:val="0"/>
              <w:rPr>
                <w:rFonts w:ascii="Tahoma" w:hAnsi="Tahoma" w:cs="Tahoma"/>
                <w:color w:val="535353"/>
                <w:sz w:val="22"/>
                <w:szCs w:val="22"/>
                <w:u w:color="0000E9"/>
              </w:rPr>
            </w:pPr>
          </w:p>
        </w:tc>
      </w:tr>
    </w:tbl>
    <w:p w:rsidR="00563B34" w:rsidRDefault="00563B34"/>
    <w:sectPr w:rsidR="00563B34" w:rsidSect="00911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w:altName w:val="Calibri"/>
    <w:panose1 w:val="020B0503020203020204"/>
    <w:charset w:val="00"/>
    <w:family w:val="auto"/>
    <w:pitch w:val="variable"/>
    <w:sig w:usb0="800000AF" w:usb1="5000204A" w:usb2="00000000" w:usb3="00000000" w:csb0="0000009B"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5D"/>
    <w:rsid w:val="0011513E"/>
    <w:rsid w:val="00563B34"/>
    <w:rsid w:val="009110C4"/>
    <w:rsid w:val="00DC625D"/>
    <w:rsid w:val="00FE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0D764"/>
  <w15:chartTrackingRefBased/>
  <w15:docId w15:val="{9781FCD5-AB62-BC4C-8101-8662CAEA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Theme="minorHAnsi" w:hAnsi="Avenir"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GFYi_PvHR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pact.vice.com/en_us/article/xw5544/this-student-run-philadelphia-shelter-wants-to-change-your-attitude-about-homelessnes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impact.vice.com/en_us/article/xw5544/this-student-run-philadelphia-shelter-wants-to-change-your-attitude-about-homelessness" TargetMode="External"/><Relationship Id="rId9" Type="http://schemas.openxmlformats.org/officeDocument/2006/relationships/hyperlink" Target="https://www.youtube.com/watch?v=GFYi_PvHR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Janneken Smucker</dc:creator>
  <cp:keywords/>
  <dc:description/>
  <cp:lastModifiedBy>Janneken Smucker</cp:lastModifiedBy>
  <cp:revision>2</cp:revision>
  <dcterms:created xsi:type="dcterms:W3CDTF">2018-04-17T13:40:00Z</dcterms:created>
  <dcterms:modified xsi:type="dcterms:W3CDTF">2018-04-17T13:54:00Z</dcterms:modified>
</cp:coreProperties>
</file>