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48A8C" w14:textId="77777777" w:rsidR="00875B74" w:rsidRDefault="00875B74" w:rsidP="00875B74">
      <w:pPr>
        <w:jc w:val="center"/>
        <w:rPr>
          <w:rFonts w:ascii="Cambria" w:hAnsi="Cambria"/>
          <w:b/>
        </w:rPr>
      </w:pPr>
      <w:bookmarkStart w:id="0" w:name="_GoBack"/>
      <w:bookmarkEnd w:id="0"/>
    </w:p>
    <w:p w14:paraId="46940D8D" w14:textId="34A7CA8F" w:rsidR="00875B74" w:rsidRDefault="00875B74" w:rsidP="00875B74">
      <w:pPr>
        <w:jc w:val="center"/>
        <w:rPr>
          <w:rFonts w:ascii="Cambria" w:hAnsi="Cambria"/>
          <w:b/>
        </w:rPr>
      </w:pPr>
    </w:p>
    <w:p w14:paraId="38D8BB41" w14:textId="63BDDEAA" w:rsidR="00875B74" w:rsidRDefault="008956D7" w:rsidP="00875B74">
      <w:pPr>
        <w:jc w:val="center"/>
        <w:rPr>
          <w:rFonts w:ascii="Cambria" w:hAnsi="Cambria"/>
          <w:b/>
        </w:rPr>
      </w:pPr>
      <w:r>
        <w:rPr>
          <w:rFonts w:ascii="Cambria" w:hAnsi="Cambria"/>
          <w:b/>
          <w:noProof/>
        </w:rPr>
        <w:drawing>
          <wp:inline distT="0" distB="0" distL="0" distR="0" wp14:anchorId="79ACABB3" wp14:editId="553F7300">
            <wp:extent cx="3137535" cy="2114149"/>
            <wp:effectExtent l="0" t="0" r="12065" b="0"/>
            <wp:docPr id="2" name="Picture 2" descr="i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3944" cy="2131944"/>
                    </a:xfrm>
                    <a:prstGeom prst="rect">
                      <a:avLst/>
                    </a:prstGeom>
                    <a:noFill/>
                    <a:ln>
                      <a:noFill/>
                    </a:ln>
                  </pic:spPr>
                </pic:pic>
              </a:graphicData>
            </a:graphic>
          </wp:inline>
        </w:drawing>
      </w:r>
    </w:p>
    <w:p w14:paraId="774172F0" w14:textId="77777777" w:rsidR="00875B74" w:rsidRDefault="00875B74" w:rsidP="007E1E4B">
      <w:pPr>
        <w:rPr>
          <w:rFonts w:ascii="Cambria" w:hAnsi="Cambria"/>
          <w:b/>
        </w:rPr>
      </w:pPr>
    </w:p>
    <w:p w14:paraId="6B7AB7D7" w14:textId="77777777" w:rsidR="00A23456" w:rsidRDefault="00A23456" w:rsidP="007E1E4B">
      <w:pPr>
        <w:rPr>
          <w:rFonts w:ascii="Cambria" w:hAnsi="Cambria"/>
          <w:b/>
        </w:rPr>
      </w:pPr>
    </w:p>
    <w:p w14:paraId="29B8C899" w14:textId="77777777" w:rsidR="00875B74" w:rsidRDefault="00875B74" w:rsidP="008956D7">
      <w:pPr>
        <w:rPr>
          <w:rFonts w:ascii="Cambria" w:hAnsi="Cambria"/>
          <w:b/>
        </w:rPr>
      </w:pPr>
    </w:p>
    <w:p w14:paraId="30F466BB" w14:textId="77777777" w:rsidR="00875B74" w:rsidRDefault="00875B74" w:rsidP="008956D7">
      <w:pPr>
        <w:rPr>
          <w:rFonts w:ascii="Cambria" w:hAnsi="Cambria"/>
          <w:b/>
        </w:rPr>
      </w:pPr>
    </w:p>
    <w:p w14:paraId="55917BCF" w14:textId="2C7E6524" w:rsidR="00875B74" w:rsidRPr="00306953" w:rsidRDefault="00875B74" w:rsidP="008956D7">
      <w:pPr>
        <w:jc w:val="center"/>
        <w:rPr>
          <w:b/>
          <w:sz w:val="52"/>
          <w:szCs w:val="52"/>
        </w:rPr>
      </w:pPr>
      <w:r w:rsidRPr="00306953">
        <w:rPr>
          <w:b/>
          <w:sz w:val="52"/>
          <w:szCs w:val="52"/>
        </w:rPr>
        <w:t>General</w:t>
      </w:r>
      <w:r w:rsidR="008956D7" w:rsidRPr="00306953">
        <w:rPr>
          <w:b/>
          <w:sz w:val="52"/>
          <w:szCs w:val="52"/>
        </w:rPr>
        <w:t xml:space="preserve"> </w:t>
      </w:r>
      <w:r w:rsidRPr="00306953">
        <w:rPr>
          <w:b/>
          <w:sz w:val="52"/>
          <w:szCs w:val="52"/>
        </w:rPr>
        <w:t>Education</w:t>
      </w:r>
      <w:r w:rsidR="008956D7" w:rsidRPr="00306953">
        <w:rPr>
          <w:b/>
          <w:sz w:val="52"/>
          <w:szCs w:val="52"/>
        </w:rPr>
        <w:t xml:space="preserve"> </w:t>
      </w:r>
      <w:r w:rsidRPr="00306953">
        <w:rPr>
          <w:b/>
          <w:sz w:val="52"/>
          <w:szCs w:val="52"/>
        </w:rPr>
        <w:t>Assessment</w:t>
      </w:r>
    </w:p>
    <w:p w14:paraId="38F7866A" w14:textId="0AEC57C5" w:rsidR="007E1E4B" w:rsidRPr="00306953" w:rsidRDefault="007E1E4B" w:rsidP="008956D7">
      <w:pPr>
        <w:jc w:val="center"/>
        <w:rPr>
          <w:b/>
          <w:sz w:val="52"/>
          <w:szCs w:val="52"/>
        </w:rPr>
      </w:pPr>
      <w:r w:rsidRPr="00306953">
        <w:rPr>
          <w:b/>
          <w:sz w:val="52"/>
          <w:szCs w:val="52"/>
        </w:rPr>
        <w:t>2018</w:t>
      </w:r>
    </w:p>
    <w:p w14:paraId="3F61102C" w14:textId="77777777" w:rsidR="00875B74" w:rsidRDefault="00875B74" w:rsidP="00875B74">
      <w:pPr>
        <w:jc w:val="center"/>
        <w:rPr>
          <w:b/>
          <w:sz w:val="44"/>
          <w:szCs w:val="44"/>
        </w:rPr>
      </w:pPr>
    </w:p>
    <w:p w14:paraId="0E5845CE" w14:textId="77777777" w:rsidR="00A23456" w:rsidRPr="00306953" w:rsidRDefault="00A23456" w:rsidP="00875B74">
      <w:pPr>
        <w:jc w:val="center"/>
        <w:rPr>
          <w:b/>
          <w:sz w:val="44"/>
          <w:szCs w:val="44"/>
        </w:rPr>
      </w:pPr>
    </w:p>
    <w:p w14:paraId="4947A57E" w14:textId="77777777" w:rsidR="00875B74" w:rsidRPr="00306953" w:rsidRDefault="00875B74" w:rsidP="00875B74">
      <w:pPr>
        <w:jc w:val="center"/>
        <w:rPr>
          <w:b/>
        </w:rPr>
      </w:pPr>
    </w:p>
    <w:p w14:paraId="33F597D2" w14:textId="77777777" w:rsidR="00481368" w:rsidRPr="00306953" w:rsidRDefault="00481368" w:rsidP="00875B74">
      <w:pPr>
        <w:jc w:val="center"/>
        <w:rPr>
          <w:b/>
        </w:rPr>
      </w:pPr>
    </w:p>
    <w:p w14:paraId="326DEC81" w14:textId="76FA51B9" w:rsidR="00875B74" w:rsidRPr="00306953" w:rsidRDefault="004E2F4F" w:rsidP="00875B74">
      <w:pPr>
        <w:jc w:val="center"/>
        <w:rPr>
          <w:b/>
        </w:rPr>
      </w:pPr>
      <w:r>
        <w:rPr>
          <w:b/>
        </w:rPr>
        <w:t xml:space="preserve">Goal </w:t>
      </w:r>
      <w:r w:rsidR="006F0271">
        <w:rPr>
          <w:b/>
        </w:rPr>
        <w:t>#</w:t>
      </w:r>
      <w:r>
        <w:rPr>
          <w:b/>
        </w:rPr>
        <w:t xml:space="preserve">2: </w:t>
      </w:r>
      <w:r w:rsidR="00A23456">
        <w:rPr>
          <w:b/>
        </w:rPr>
        <w:t>E</w:t>
      </w:r>
      <w:r>
        <w:rPr>
          <w:b/>
        </w:rPr>
        <w:t>mploy quantitative concepts and mathematical models</w:t>
      </w:r>
    </w:p>
    <w:p w14:paraId="3E16E143" w14:textId="7C1E1FAA" w:rsidR="00875B74" w:rsidRPr="00306953" w:rsidRDefault="00875B74" w:rsidP="00A23456">
      <w:pPr>
        <w:jc w:val="center"/>
        <w:rPr>
          <w:b/>
        </w:rPr>
      </w:pPr>
      <w:r w:rsidRPr="00306953">
        <w:rPr>
          <w:b/>
        </w:rPr>
        <w:t xml:space="preserve">Goal </w:t>
      </w:r>
      <w:r w:rsidR="006F0271">
        <w:rPr>
          <w:b/>
        </w:rPr>
        <w:t>#</w:t>
      </w:r>
      <w:r w:rsidR="004E2F4F">
        <w:rPr>
          <w:b/>
        </w:rPr>
        <w:t xml:space="preserve">4: </w:t>
      </w:r>
      <w:r w:rsidR="00A23456">
        <w:rPr>
          <w:b/>
        </w:rPr>
        <w:t>D</w:t>
      </w:r>
      <w:r w:rsidR="004E2F4F">
        <w:rPr>
          <w:b/>
        </w:rPr>
        <w:t>emonstrate the ability to think across and about disciplinary boundaries</w:t>
      </w:r>
    </w:p>
    <w:p w14:paraId="09B6469F" w14:textId="77777777" w:rsidR="00875B74" w:rsidRPr="00306953" w:rsidRDefault="00875B74" w:rsidP="00875B74">
      <w:pPr>
        <w:jc w:val="center"/>
        <w:rPr>
          <w:b/>
        </w:rPr>
      </w:pPr>
    </w:p>
    <w:p w14:paraId="30C0050C" w14:textId="77777777" w:rsidR="00875B74" w:rsidRPr="00306953" w:rsidRDefault="00875B74" w:rsidP="00875B74">
      <w:pPr>
        <w:jc w:val="center"/>
        <w:rPr>
          <w:b/>
        </w:rPr>
      </w:pPr>
    </w:p>
    <w:p w14:paraId="518E7B8B" w14:textId="77777777" w:rsidR="00875B74" w:rsidRPr="00306953" w:rsidRDefault="00875B74" w:rsidP="00875B74">
      <w:pPr>
        <w:jc w:val="center"/>
        <w:rPr>
          <w:b/>
        </w:rPr>
      </w:pPr>
    </w:p>
    <w:p w14:paraId="622669B2" w14:textId="77777777" w:rsidR="00875B74" w:rsidRPr="00306953" w:rsidRDefault="00875B74" w:rsidP="00875B74">
      <w:pPr>
        <w:jc w:val="center"/>
        <w:rPr>
          <w:b/>
        </w:rPr>
      </w:pPr>
    </w:p>
    <w:p w14:paraId="76B1C892" w14:textId="77777777" w:rsidR="00875B74" w:rsidRPr="00306953" w:rsidRDefault="00875B74" w:rsidP="00875B74">
      <w:pPr>
        <w:jc w:val="center"/>
        <w:rPr>
          <w:b/>
        </w:rPr>
      </w:pPr>
    </w:p>
    <w:p w14:paraId="1D68935C" w14:textId="77777777" w:rsidR="00875B74" w:rsidRPr="00306953" w:rsidRDefault="00875B74" w:rsidP="00875B74">
      <w:pPr>
        <w:jc w:val="center"/>
        <w:rPr>
          <w:b/>
        </w:rPr>
      </w:pPr>
    </w:p>
    <w:p w14:paraId="4FE9EFE3" w14:textId="77777777" w:rsidR="00875B74" w:rsidRDefault="00875B74" w:rsidP="00875B74">
      <w:pPr>
        <w:jc w:val="center"/>
        <w:rPr>
          <w:b/>
        </w:rPr>
      </w:pPr>
    </w:p>
    <w:p w14:paraId="5DEBA24C" w14:textId="77777777" w:rsidR="00A23456" w:rsidRDefault="00A23456" w:rsidP="00875B74">
      <w:pPr>
        <w:jc w:val="center"/>
        <w:rPr>
          <w:b/>
        </w:rPr>
      </w:pPr>
    </w:p>
    <w:p w14:paraId="33BE2CBB" w14:textId="77777777" w:rsidR="00A23456" w:rsidRDefault="00A23456" w:rsidP="00875B74">
      <w:pPr>
        <w:jc w:val="center"/>
        <w:rPr>
          <w:b/>
        </w:rPr>
      </w:pPr>
    </w:p>
    <w:p w14:paraId="21C6C3B9" w14:textId="77777777" w:rsidR="00A23456" w:rsidRDefault="00A23456" w:rsidP="00875B74">
      <w:pPr>
        <w:jc w:val="center"/>
        <w:rPr>
          <w:b/>
        </w:rPr>
      </w:pPr>
    </w:p>
    <w:p w14:paraId="614F561D" w14:textId="77777777" w:rsidR="00A23456" w:rsidRPr="00306953" w:rsidRDefault="00A23456" w:rsidP="00875B74">
      <w:pPr>
        <w:jc w:val="center"/>
        <w:rPr>
          <w:b/>
        </w:rPr>
      </w:pPr>
    </w:p>
    <w:p w14:paraId="4087DDDC" w14:textId="77777777" w:rsidR="00875B74" w:rsidRDefault="00875B74" w:rsidP="00875B74">
      <w:pPr>
        <w:jc w:val="center"/>
        <w:rPr>
          <w:b/>
        </w:rPr>
      </w:pPr>
    </w:p>
    <w:p w14:paraId="2443A562" w14:textId="77777777" w:rsidR="00A23456" w:rsidRPr="00306953" w:rsidRDefault="00A23456" w:rsidP="00875B74">
      <w:pPr>
        <w:jc w:val="center"/>
        <w:rPr>
          <w:b/>
        </w:rPr>
      </w:pPr>
    </w:p>
    <w:p w14:paraId="2266B133" w14:textId="6F16C23B" w:rsidR="00E047FA" w:rsidRPr="00306953" w:rsidRDefault="00875B74" w:rsidP="00A23456">
      <w:pPr>
        <w:jc w:val="center"/>
        <w:rPr>
          <w:b/>
        </w:rPr>
      </w:pPr>
      <w:r w:rsidRPr="00306953">
        <w:rPr>
          <w:b/>
        </w:rPr>
        <w:t>August 201</w:t>
      </w:r>
      <w:r w:rsidR="00A23456">
        <w:rPr>
          <w:b/>
        </w:rPr>
        <w:t>8</w:t>
      </w:r>
      <w:r w:rsidRPr="00306953">
        <w:rPr>
          <w:b/>
        </w:rPr>
        <w:br w:type="page"/>
      </w:r>
    </w:p>
    <w:p w14:paraId="26854310" w14:textId="0E6294FC" w:rsidR="006F0271" w:rsidRPr="006F0271" w:rsidRDefault="006F0271" w:rsidP="006F0271">
      <w:pPr>
        <w:jc w:val="center"/>
        <w:rPr>
          <w:b/>
        </w:rPr>
      </w:pPr>
      <w:r w:rsidRPr="006F0271">
        <w:rPr>
          <w:b/>
        </w:rPr>
        <w:lastRenderedPageBreak/>
        <w:t>Goal #4 - Quantitative</w:t>
      </w:r>
    </w:p>
    <w:p w14:paraId="4C14D089" w14:textId="77777777" w:rsidR="006F0271" w:rsidRDefault="006F0271" w:rsidP="006F0271"/>
    <w:p w14:paraId="5590FE32" w14:textId="77777777" w:rsidR="006F0271" w:rsidRDefault="006F0271" w:rsidP="006F0271">
      <w:pPr>
        <w:rPr>
          <w:b/>
        </w:rPr>
      </w:pPr>
      <w:r w:rsidRPr="00AC5F34">
        <w:rPr>
          <w:b/>
        </w:rPr>
        <w:t>Methods</w:t>
      </w:r>
    </w:p>
    <w:p w14:paraId="2AB1A788" w14:textId="77777777" w:rsidR="006F0271" w:rsidRPr="00AC5F34" w:rsidRDefault="006F0271" w:rsidP="006F0271">
      <w:pPr>
        <w:rPr>
          <w:b/>
        </w:rPr>
      </w:pPr>
    </w:p>
    <w:p w14:paraId="3674A99E" w14:textId="77777777" w:rsidR="006F0271" w:rsidRDefault="006F0271" w:rsidP="006F0271">
      <w:r>
        <w:tab/>
        <w:t xml:space="preserve">Four instructors representing three departments and four courses were invited to participate in the quantitative assessment team. The four instructors and classes were Dr. Michelle Caler, </w:t>
      </w:r>
      <w:proofErr w:type="spellStart"/>
      <w:r>
        <w:t>PHY</w:t>
      </w:r>
      <w:proofErr w:type="spellEnd"/>
      <w:r>
        <w:t xml:space="preserve"> 140; Dr. Afrand Agah, CSC 110; Dr. Lei Zhu, ECO 111; and Dr. Simon Condliffe, ECO 112. Dr. Megan Heckert from Geography and Planning acted as team lead but did not provide or score any artifacts. Each instructor provided 30 artifacts for assessment using the </w:t>
      </w:r>
      <w:proofErr w:type="spellStart"/>
      <w:r>
        <w:t>AACU</w:t>
      </w:r>
      <w:proofErr w:type="spellEnd"/>
      <w:r>
        <w:t xml:space="preserve"> value rubric for Quantitative Literacy. Prior to the first norming session, each instructor provide an answer key to their artifacts and some guidance as to which dimensions of the rubric were appropriate to which elements within the artifacts.</w:t>
      </w:r>
    </w:p>
    <w:p w14:paraId="7C74E019" w14:textId="77777777" w:rsidR="006F0271" w:rsidRDefault="006F0271" w:rsidP="006F0271"/>
    <w:p w14:paraId="349BE9FE" w14:textId="77777777" w:rsidR="006F0271" w:rsidRDefault="006F0271" w:rsidP="006F0271">
      <w:r>
        <w:tab/>
        <w:t xml:space="preserve">Three norming and assessment sessions were held in May and June 2018. Prior to the first meeting, team members used the </w:t>
      </w:r>
      <w:proofErr w:type="spellStart"/>
      <w:r>
        <w:t>AACU</w:t>
      </w:r>
      <w:proofErr w:type="spellEnd"/>
      <w:r>
        <w:t xml:space="preserve"> rubric to score one artifact from each class. During the meeting, each artifact was discussed in detail, with more specific attention to artifacts that were scored more than 1 point away from each other by raters. For each artifact, the professor was consulted in some detail about the artifact to reach consensus as to which dimensions were appropriate and to which parts of the artifact. Based on this understanding, team members then scored three additional artifacts from each class prior to the second meeting. The second meeting followed a similar process to the first and further refined the team’s understanding of how to apply the rubric to the chosen artifacts. Following the second meeting, all artifacts were scored. Team members met a third time to review the results, reflect on the process, and make recommendations. </w:t>
      </w:r>
    </w:p>
    <w:p w14:paraId="5C6C75B6" w14:textId="77777777" w:rsidR="006F0271" w:rsidRDefault="006F0271" w:rsidP="006F0271"/>
    <w:p w14:paraId="47ECA90C" w14:textId="77777777" w:rsidR="006F0271" w:rsidRDefault="006F0271" w:rsidP="006F0271">
      <w:pPr>
        <w:ind w:firstLine="720"/>
      </w:pPr>
      <w:r>
        <w:t>Following is a narrative report of the team discussions and a summary of the assessment data.</w:t>
      </w:r>
    </w:p>
    <w:p w14:paraId="5D1E1AB5" w14:textId="77777777" w:rsidR="006F0271" w:rsidRDefault="006F0271" w:rsidP="006F0271"/>
    <w:p w14:paraId="66F37A6D" w14:textId="5C08A39D" w:rsidR="006F0271" w:rsidRPr="00AC5F34" w:rsidRDefault="006F0271" w:rsidP="006F0271">
      <w:pPr>
        <w:rPr>
          <w:b/>
        </w:rPr>
      </w:pPr>
      <w:r w:rsidRPr="00AC5F34">
        <w:rPr>
          <w:b/>
        </w:rPr>
        <w:t>Summary of Discussions</w:t>
      </w:r>
    </w:p>
    <w:p w14:paraId="25AC9E49" w14:textId="77777777" w:rsidR="006F0271" w:rsidRDefault="006F0271" w:rsidP="006F0271"/>
    <w:p w14:paraId="6A412591" w14:textId="3BBBF300" w:rsidR="006F0271" w:rsidRPr="006F0271" w:rsidRDefault="006F0271" w:rsidP="006F0271">
      <w:pPr>
        <w:rPr>
          <w:u w:val="single"/>
        </w:rPr>
      </w:pPr>
      <w:r w:rsidRPr="006F0271">
        <w:rPr>
          <w:u w:val="single"/>
        </w:rPr>
        <w:t>First Meeting</w:t>
      </w:r>
    </w:p>
    <w:p w14:paraId="0D0CEC4F" w14:textId="77777777" w:rsidR="006F0271" w:rsidRDefault="006F0271" w:rsidP="006F0271"/>
    <w:p w14:paraId="604B1DB7" w14:textId="77777777" w:rsidR="006F0271" w:rsidRDefault="006F0271" w:rsidP="006F0271">
      <w:pPr>
        <w:ind w:firstLine="720"/>
      </w:pPr>
      <w:r>
        <w:t xml:space="preserve">Meeting 1 considerably narrowed the dimensions being scored for all artifacts. Ultimately, it was decided that the CSC 110 artifact was appropriate for only 2 dimensions: interpretation and representation, while </w:t>
      </w:r>
      <w:proofErr w:type="spellStart"/>
      <w:r>
        <w:t>PHY</w:t>
      </w:r>
      <w:proofErr w:type="spellEnd"/>
      <w:r>
        <w:t xml:space="preserve"> 140 would be scored for 3: interpretation, representation, and calculation, ECO 111 would be scored for all dimensions with the exception of assumptions and ECO 112 would be assessed for interpretation, representation, calculation, and application/analysis. </w:t>
      </w:r>
    </w:p>
    <w:p w14:paraId="34FA1EA0" w14:textId="77777777" w:rsidR="006F0271" w:rsidRDefault="006F0271" w:rsidP="006F0271">
      <w:pPr>
        <w:ind w:firstLine="720"/>
      </w:pPr>
    </w:p>
    <w:p w14:paraId="1E9EBFAF" w14:textId="77777777" w:rsidR="006F0271" w:rsidRDefault="006F0271" w:rsidP="006F0271">
      <w:r>
        <w:tab/>
        <w:t xml:space="preserve">The interdisciplinary nature of the team and artifacts proved somewhat challenging when it came to assessing answers that did not exactly match the answer keys provided. The </w:t>
      </w:r>
      <w:proofErr w:type="spellStart"/>
      <w:r>
        <w:t>PHY</w:t>
      </w:r>
      <w:proofErr w:type="spellEnd"/>
      <w:r>
        <w:t xml:space="preserve"> 140 artifact was the most challenging in this regard, in part because it was the least structured of the artifacts. However, all members agreed that despite the challenges, all artifacts were appropriate and would continue to be scored.</w:t>
      </w:r>
    </w:p>
    <w:p w14:paraId="3908A8AC" w14:textId="4B2C67A7" w:rsidR="006F0271" w:rsidRPr="006F0271" w:rsidRDefault="006F0271" w:rsidP="006F0271">
      <w:r w:rsidRPr="006F0271">
        <w:rPr>
          <w:u w:val="single"/>
        </w:rPr>
        <w:lastRenderedPageBreak/>
        <w:t>Second Meeting</w:t>
      </w:r>
    </w:p>
    <w:p w14:paraId="63A5DB52" w14:textId="77777777" w:rsidR="006F0271" w:rsidRDefault="006F0271" w:rsidP="006F0271"/>
    <w:p w14:paraId="1C3BA7A7" w14:textId="77777777" w:rsidR="006F0271" w:rsidRDefault="006F0271" w:rsidP="006F0271">
      <w:r>
        <w:tab/>
        <w:t xml:space="preserve">The </w:t>
      </w:r>
      <w:proofErr w:type="spellStart"/>
      <w:r>
        <w:t>PHY</w:t>
      </w:r>
      <w:proofErr w:type="spellEnd"/>
      <w:r>
        <w:t xml:space="preserve"> 140 artifacts continued to be the most inconsistent in terms of scores – all four artifacts that had been judged to that point had at least one dimension with scores more than 1 point apart, and every dimension has had a 2 point discrepancy for at least one artifact. We further discussed what kinds of answers would receive each of the scores, with a particular focus on how to distinguish scores of 2 and 3 from each other. Given the particular challenges instructors faced in rating the artifact, the team briefly discussed whether or not to drop it from the assessment. Ultimately, the team felt that the updated scoring guidelines were worth pursuing and that we would re-visit this question at the third meeting if scores continued to have such large discrepancies. Dr. Caler agreed to create a new, more detailed answer key that would show alternate correct or partially-correct answers and all instructors agreed to re-rate all artifacts for the final assessment scores.</w:t>
      </w:r>
    </w:p>
    <w:p w14:paraId="6CDBC6DB" w14:textId="77777777" w:rsidR="006F0271" w:rsidRDefault="006F0271" w:rsidP="006F0271"/>
    <w:p w14:paraId="379B6AFD" w14:textId="77777777" w:rsidR="006F0271" w:rsidRDefault="006F0271" w:rsidP="006F0271">
      <w:r>
        <w:tab/>
        <w:t>The ECO 112 discussion ultimately reached the conclusion that the communications dimension was not appropriate and would be dropped from the assessment.</w:t>
      </w:r>
      <w:r w:rsidRPr="00D55710">
        <w:t xml:space="preserve"> </w:t>
      </w:r>
      <w:r>
        <w:t>This was due to the fact that all of the answers were a single sentence and that as test responses, the answers don’t necessarily reflect attempts at clear communication due to the expert nature of the audience and limited time they had to provide their answers. The result of this decision was that none of the artifacts was assessed for the communication dimension.</w:t>
      </w:r>
    </w:p>
    <w:p w14:paraId="4668B93E" w14:textId="77777777" w:rsidR="006F0271" w:rsidRDefault="006F0271" w:rsidP="006F0271"/>
    <w:p w14:paraId="60644406" w14:textId="77777777" w:rsidR="006F0271" w:rsidRDefault="006F0271" w:rsidP="006F0271">
      <w:r>
        <w:tab/>
        <w:t>At this point, the other two artifacts (CSC 110 and ECO 111) were consistently receiving scores within 1 point of each other on all dimensions and the team expressed no further areas of concern.</w:t>
      </w:r>
    </w:p>
    <w:p w14:paraId="01928B67" w14:textId="77777777" w:rsidR="006F0271" w:rsidRDefault="006F0271" w:rsidP="006F0271"/>
    <w:p w14:paraId="6DFA8D23" w14:textId="3E104BA4" w:rsidR="006F0271" w:rsidRPr="006F0271" w:rsidRDefault="006F0271" w:rsidP="006F0271">
      <w:r w:rsidRPr="006F0271">
        <w:rPr>
          <w:u w:val="single"/>
        </w:rPr>
        <w:t>Third Meeting</w:t>
      </w:r>
    </w:p>
    <w:p w14:paraId="0DE15118" w14:textId="77777777" w:rsidR="006F0271" w:rsidRDefault="006F0271" w:rsidP="006F0271"/>
    <w:p w14:paraId="400563B0" w14:textId="77777777" w:rsidR="006F0271" w:rsidRDefault="006F0271" w:rsidP="006F0271">
      <w:r>
        <w:tab/>
        <w:t xml:space="preserve">Prior to the third meeting, all remaining artifacts were scored and summary statistics were prepared for the results. These statistics covered both inter-rater reliability and the actual assessment results. </w:t>
      </w:r>
    </w:p>
    <w:p w14:paraId="29CE3294" w14:textId="77777777" w:rsidR="006F0271" w:rsidRDefault="006F0271" w:rsidP="006F0271"/>
    <w:p w14:paraId="667710DC" w14:textId="77777777" w:rsidR="006F0271" w:rsidRPr="004229F8" w:rsidRDefault="006F0271" w:rsidP="006F0271">
      <w:pPr>
        <w:rPr>
          <w:i/>
        </w:rPr>
      </w:pPr>
      <w:r w:rsidRPr="004229F8">
        <w:rPr>
          <w:i/>
        </w:rPr>
        <w:t>Inter-rater reliability</w:t>
      </w:r>
    </w:p>
    <w:p w14:paraId="0C0E4189" w14:textId="77777777" w:rsidR="006F0271" w:rsidRDefault="006F0271" w:rsidP="006F0271"/>
    <w:p w14:paraId="00CEB180" w14:textId="77777777" w:rsidR="006F0271" w:rsidRDefault="006F0271" w:rsidP="006F0271">
      <w:pPr>
        <w:ind w:firstLine="720"/>
      </w:pPr>
      <w:r>
        <w:t>With three raters scoring each individual artifact, the easiest metric to use to indicate inter-rater reliability was to note the range of scores that each artifact received. A range of 0 indicated that all raters gave the same score while a range of 1 would indicate that two raters agreed and one rater was off by one. Ranges of 2 and 3 are not as straightforward with regard to agreement as they could indicate two or three different scores overall, but they also do indicate where scores varied considerably. The percentage of artifacts with ranges of 0, 1, 2, or 3 was calculated for each dimension rather than for each artifact.</w:t>
      </w:r>
    </w:p>
    <w:p w14:paraId="147C2C5B" w14:textId="77777777" w:rsidR="006F0271" w:rsidRDefault="006F0271" w:rsidP="006F0271"/>
    <w:p w14:paraId="7ABE6304" w14:textId="77777777" w:rsidR="006F0271" w:rsidRDefault="006F0271" w:rsidP="006F0271">
      <w:pPr>
        <w:ind w:firstLine="720"/>
      </w:pPr>
      <w:r>
        <w:t xml:space="preserve">In reviewing the rating consistency, it was noted that for all dimensions of the rubric at least 86% of all scores were within 1 point of each other, which we feel is a good level of </w:t>
      </w:r>
      <w:r>
        <w:lastRenderedPageBreak/>
        <w:t>agreement and note would not have been likely without having used the two previous meetings to norm the rubrics.</w:t>
      </w:r>
    </w:p>
    <w:p w14:paraId="74E9927D" w14:textId="77777777" w:rsidR="006F0271" w:rsidRDefault="006F0271" w:rsidP="006F0271"/>
    <w:p w14:paraId="3FA5BB93" w14:textId="77777777" w:rsidR="006F0271" w:rsidRDefault="006F0271" w:rsidP="006F0271">
      <w:pPr>
        <w:rPr>
          <w:i/>
        </w:rPr>
      </w:pPr>
      <w:r w:rsidRPr="004229F8">
        <w:rPr>
          <w:i/>
        </w:rPr>
        <w:t>Student Scores</w:t>
      </w:r>
    </w:p>
    <w:p w14:paraId="19F4CB49" w14:textId="77777777" w:rsidR="006F0271" w:rsidRPr="004229F8" w:rsidRDefault="006F0271" w:rsidP="006F0271">
      <w:pPr>
        <w:rPr>
          <w:i/>
        </w:rPr>
      </w:pPr>
    </w:p>
    <w:p w14:paraId="5419BB1C" w14:textId="77777777" w:rsidR="006F0271" w:rsidRDefault="006F0271" w:rsidP="006F0271">
      <w:pPr>
        <w:ind w:firstLine="720"/>
      </w:pPr>
      <w:r>
        <w:t>We went on to discuss the student scores for each of the four dimensions. The scores were further broken down as average scores for each artifact and percent of artifacts scoring each rating 1-4.</w:t>
      </w:r>
    </w:p>
    <w:p w14:paraId="7A2C10A9" w14:textId="77777777" w:rsidR="006F0271" w:rsidRDefault="006F0271" w:rsidP="006F0271"/>
    <w:p w14:paraId="07882E64" w14:textId="77777777" w:rsidR="006F0271" w:rsidRDefault="006F0271" w:rsidP="006F0271">
      <w:pPr>
        <w:ind w:firstLine="720"/>
      </w:pPr>
      <w:r>
        <w:t xml:space="preserve">In attempting to reflect on the scores as indicators of quantitative skills, the team raised the question of whether we are aiming for scores higher than 2 or higher than 3. If we look at all scores above 2, each dimension had over 90% of artifacts achieving this milestone, which would seem to indicate that the gen </w:t>
      </w:r>
      <w:proofErr w:type="spellStart"/>
      <w:proofErr w:type="gramStart"/>
      <w:r>
        <w:t>ed</w:t>
      </w:r>
      <w:proofErr w:type="spellEnd"/>
      <w:proofErr w:type="gramEnd"/>
      <w:r>
        <w:t xml:space="preserve"> program is meeting its quantitative analysis goals. At least one member of the team questioned, however, whether 2 should actually be considered a milestone score and suggested that we should aim higher. If 3 were the more appropriate milestone to use as a goal, the percentage of artifacts scored in this range was closer to 70%, a result that was felt to be disappointing. </w:t>
      </w:r>
    </w:p>
    <w:p w14:paraId="0E6863B6" w14:textId="77777777" w:rsidR="006F0271" w:rsidRDefault="006F0271" w:rsidP="006F0271"/>
    <w:p w14:paraId="55C5E521" w14:textId="77777777" w:rsidR="006F0271" w:rsidRDefault="006F0271" w:rsidP="006F0271">
      <w:pPr>
        <w:rPr>
          <w:i/>
        </w:rPr>
      </w:pPr>
      <w:r w:rsidRPr="004229F8">
        <w:rPr>
          <w:i/>
        </w:rPr>
        <w:t>The Assessment Process</w:t>
      </w:r>
    </w:p>
    <w:p w14:paraId="5F2770EE" w14:textId="77777777" w:rsidR="006F0271" w:rsidRPr="004229F8" w:rsidRDefault="006F0271" w:rsidP="006F0271">
      <w:pPr>
        <w:rPr>
          <w:i/>
        </w:rPr>
      </w:pPr>
    </w:p>
    <w:p w14:paraId="1BADBF8C" w14:textId="51372370" w:rsidR="006F0271" w:rsidRDefault="006F0271" w:rsidP="006F0271">
      <w:pPr>
        <w:ind w:firstLine="720"/>
      </w:pPr>
      <w:r>
        <w:t xml:space="preserve">The bulk of our conversation focused on the assessment process.  Based on the second meeting, communication was dropped as a dimension for all artifacts because of the difficulty of assessing correctness for non-subject matter experts. The suggestion was made that perhaps in the future a sub-set of assessors from within the discipline would be better able to assess artifacts for communication. One team member who was not able to attend the second meeting but who had participated </w:t>
      </w:r>
      <w:r w:rsidR="00C254CE">
        <w:t xml:space="preserve">the prior </w:t>
      </w:r>
      <w:r>
        <w:t>year noted that they had ultimately chosen to focus only on writing structure and not correctness at all as a way of getting around this issue. A concern was raised as to whether this would be a fair assessment of communication skills for artifacts where students were not necessarily writing with an expectation that they would be assessed on writing mechanics (and the concern that for exams in particular, where students might be pressed for time, their answers might not fully reflect their communication skills). Ultimately a suggestion was made that artifacts should be chosen where communication expectations were communicated to students.</w:t>
      </w:r>
    </w:p>
    <w:p w14:paraId="739A2B55" w14:textId="66C27FEE" w:rsidR="006F0271" w:rsidRDefault="00551B69" w:rsidP="006F0271">
      <w:r>
        <w:t xml:space="preserve"> </w:t>
      </w:r>
    </w:p>
    <w:p w14:paraId="6F342F88" w14:textId="6EBA84E1" w:rsidR="006F0271" w:rsidRDefault="006F0271" w:rsidP="006F0271">
      <w:pPr>
        <w:ind w:firstLine="720"/>
      </w:pPr>
      <w:r>
        <w:t xml:space="preserve">This led to a general discussion of what makes an artifact appropriate for use. In addition to the concern about communication, the </w:t>
      </w:r>
      <w:proofErr w:type="spellStart"/>
      <w:r>
        <w:t>PHY</w:t>
      </w:r>
      <w:proofErr w:type="spellEnd"/>
      <w:r>
        <w:t xml:space="preserve"> 140 artifact was discussed as having been particularly difficult for non-experts to grade because it was a free response question. While this fit the general pedagogy of the physics class, the lack of structure made it difficult for non-expert raters when students did not always use the approach laid out in the answer key or write all of the components that fit the “best case” model. In some ways, this is the same suggestion made above for communication: </w:t>
      </w:r>
      <w:proofErr w:type="gramStart"/>
      <w:r>
        <w:t>that artifacts</w:t>
      </w:r>
      <w:proofErr w:type="gramEnd"/>
      <w:r>
        <w:t xml:space="preserve"> have structure and clarity about what is expected. The CSC 110 artifact was held up as a good example of an artifact where the expectations</w:t>
      </w:r>
      <w:r w:rsidR="00A319F1">
        <w:t xml:space="preserve"> for the assignment</w:t>
      </w:r>
      <w:r>
        <w:t xml:space="preserve"> were very clearly laid out</w:t>
      </w:r>
      <w:r w:rsidR="00A319F1">
        <w:t xml:space="preserve"> and explicit in both form and content.</w:t>
      </w:r>
      <w:r>
        <w:t xml:space="preserve"> </w:t>
      </w:r>
      <w:r w:rsidR="00A319F1">
        <w:t>A</w:t>
      </w:r>
      <w:r>
        <w:t>ll raters agreed this made it much easier to assess</w:t>
      </w:r>
      <w:r w:rsidR="00A319F1">
        <w:t xml:space="preserve"> the degree to which the answers </w:t>
      </w:r>
      <w:r w:rsidR="00A319F1">
        <w:lastRenderedPageBreak/>
        <w:t>were correct in comparison to</w:t>
      </w:r>
      <w:r>
        <w:t xml:space="preserve"> some of the others.</w:t>
      </w:r>
      <w:r w:rsidR="00A319F1">
        <w:t xml:space="preserve"> That being said, the CS110 artifact was also scored for the fewest dimensions because the level of specificity of the assignment could only be easily matched to representation and interpretation.</w:t>
      </w:r>
    </w:p>
    <w:p w14:paraId="048894A4" w14:textId="77777777" w:rsidR="0030127E" w:rsidRDefault="0030127E" w:rsidP="006F0271">
      <w:pPr>
        <w:ind w:firstLine="720"/>
      </w:pPr>
    </w:p>
    <w:p w14:paraId="40105896" w14:textId="0DB6FB1C" w:rsidR="006F0271" w:rsidRDefault="006F0271" w:rsidP="006F0271">
      <w:pPr>
        <w:ind w:firstLine="720"/>
      </w:pPr>
      <w:r>
        <w:t xml:space="preserve">We ended the discussion by talking about the rubric. </w:t>
      </w:r>
      <w:r w:rsidR="00C254CE">
        <w:t>Though no team member reported concerns about the wording of the rubric in terms of understanding the meanings for each score or the appropriateness of the dimensions, a few reflections were offered in retrospect about the meaningfulness of the results. In particular, o</w:t>
      </w:r>
      <w:r>
        <w:t xml:space="preserve">ne team member noted there did not seem to be even spacing between scores. Both 4 and 3 were interpreted as needing to be correct, but with 4 being better/more thorough than 3, while 2 </w:t>
      </w:r>
      <w:r w:rsidR="00A319F1">
        <w:t xml:space="preserve">was </w:t>
      </w:r>
      <w:r>
        <w:t>seen as indicating a much wider range as it would be used for some mistakes, which could be either big or small.</w:t>
      </w:r>
      <w:r w:rsidR="00C254CE">
        <w:t xml:space="preserve"> In other words, </w:t>
      </w:r>
      <w:r w:rsidR="00FB4925">
        <w:t>scores of 2 were harder to interpret than others in terms of the quality of the results because the score represented a wider range of levels of correctness.</w:t>
      </w:r>
      <w:r w:rsidR="00C254CE">
        <w:t xml:space="preserve"> </w:t>
      </w:r>
      <w:r>
        <w:t xml:space="preserve"> </w:t>
      </w:r>
      <w:r w:rsidR="00FB4925">
        <w:t>At this point, most</w:t>
      </w:r>
      <w:r>
        <w:t xml:space="preserve"> raters agreed that 1s and 4s were easiest to identify while the 2-3 distinction was much more difficult</w:t>
      </w:r>
      <w:r w:rsidR="00C639FB">
        <w:t>, while also noting that this is normal for assessment where extremes are generally easier to distinguish</w:t>
      </w:r>
      <w:r>
        <w:t xml:space="preserve">. </w:t>
      </w:r>
      <w:r w:rsidR="00FB4925">
        <w:t>There was not complete agreement that this was a major concern or that rubric revision was required, but t</w:t>
      </w:r>
      <w:r>
        <w:t>wo possible solutions were offered. The first was to shift the meanings slightly so that 4 would indicate correct, 3 would indicate mostly correct with minor errors, 2 would indicate somewhat correct with more major errors, and 1 would indicate completely off base.</w:t>
      </w:r>
      <w:r w:rsidR="00FB4925">
        <w:t xml:space="preserve"> </w:t>
      </w:r>
      <w:r w:rsidR="00C639FB">
        <w:t>A</w:t>
      </w:r>
      <w:r>
        <w:t xml:space="preserve"> second alternative was to shift to a 3-level rubric with scores of 3 for exceeding expectations, 2 for meeting expectations, and 1 for not meeting expectations</w:t>
      </w:r>
      <w:r w:rsidR="00551B69">
        <w:t xml:space="preserve">. </w:t>
      </w:r>
      <w:r>
        <w:t xml:space="preserve"> </w:t>
      </w:r>
      <w:r w:rsidR="00FB4925">
        <w:t xml:space="preserve">In both instances, the concern was not about the applicability of the rubric to the learning goal or the ability of assessor to determine appropriate scores, but about making the assessment scores easier to interpret. </w:t>
      </w:r>
      <w:r>
        <w:t>No consensus was reached as to a preference between these two suggestions</w:t>
      </w:r>
      <w:r w:rsidR="00FB4925">
        <w:t xml:space="preserve"> or the necessity of making a change</w:t>
      </w:r>
      <w:r>
        <w:t>.</w:t>
      </w:r>
    </w:p>
    <w:p w14:paraId="390ACCA7" w14:textId="6E59E55A" w:rsidR="00551B69" w:rsidRDefault="00551B69" w:rsidP="006F0271">
      <w:pPr>
        <w:ind w:firstLine="720"/>
      </w:pPr>
    </w:p>
    <w:p w14:paraId="09C0A0DD" w14:textId="707DD33F" w:rsidR="00551B69" w:rsidRPr="006B2DEA" w:rsidRDefault="006B2DEA" w:rsidP="006B2DEA">
      <w:pPr>
        <w:ind w:firstLine="720"/>
        <w:rPr>
          <w:rFonts w:cstheme="minorHAnsi"/>
        </w:rPr>
      </w:pPr>
      <w:r>
        <w:rPr>
          <w:rFonts w:cstheme="minorHAnsi"/>
        </w:rPr>
        <w:t>The topic of adapting the rubric</w:t>
      </w:r>
      <w:r w:rsidR="00551B69" w:rsidRPr="006B2DEA">
        <w:rPr>
          <w:rFonts w:cstheme="minorHAnsi"/>
        </w:rPr>
        <w:t xml:space="preserve"> topic came up as an area of concern only at the end of the third meeting. On several occasions during the first two meetings the team was asked about the rubric itself and felt that it worked – that the challenges had to do with artifacts that had not been designed to assess all of the dimensions on the rubric or the open-ended nature of the output which made it more difficult for non-experts to judge. In other words, the problem was not that they didn’t understand the rubric or that the rubric was inappropriate but that they didn’t understand the artifacts well enough to see gradations in correctness. Neither of these issues was seen as a concern that could be addressed by changing the rubric. </w:t>
      </w:r>
    </w:p>
    <w:p w14:paraId="3A5F741F" w14:textId="77777777" w:rsidR="006F0271" w:rsidRDefault="006F0271" w:rsidP="006F0271"/>
    <w:p w14:paraId="7AF6A0B3" w14:textId="77777777" w:rsidR="006F0271" w:rsidRPr="00AC5F34" w:rsidRDefault="006F0271" w:rsidP="006F0271">
      <w:pPr>
        <w:rPr>
          <w:b/>
        </w:rPr>
      </w:pPr>
      <w:r w:rsidRPr="00AC5F34">
        <w:rPr>
          <w:b/>
        </w:rPr>
        <w:t>Assessment Results</w:t>
      </w:r>
    </w:p>
    <w:p w14:paraId="627FF241" w14:textId="77777777" w:rsidR="006F0271" w:rsidRDefault="006F0271" w:rsidP="006F0271">
      <w:pPr>
        <w:rPr>
          <w:b/>
          <w:i/>
        </w:rPr>
      </w:pPr>
    </w:p>
    <w:p w14:paraId="617D91EF" w14:textId="77777777" w:rsidR="006F0271" w:rsidRPr="006F0271" w:rsidRDefault="006F0271" w:rsidP="006F0271">
      <w:pPr>
        <w:rPr>
          <w:u w:val="single"/>
        </w:rPr>
      </w:pPr>
      <w:r w:rsidRPr="006F0271">
        <w:rPr>
          <w:u w:val="single"/>
        </w:rPr>
        <w:t>Inter-rater Reliability</w:t>
      </w:r>
    </w:p>
    <w:p w14:paraId="68E8A84B" w14:textId="77777777" w:rsidR="006F0271" w:rsidRDefault="006F0271" w:rsidP="006F0271">
      <w:pPr>
        <w:rPr>
          <w:b/>
          <w:i/>
        </w:rPr>
      </w:pPr>
    </w:p>
    <w:p w14:paraId="2954745D" w14:textId="77777777" w:rsidR="006F0271" w:rsidRDefault="006F0271" w:rsidP="006F0271">
      <w:r>
        <w:tab/>
        <w:t xml:space="preserve">This table represents the range of scores assigned to each artifact. With 3 raters rather than 2 (as had been used in the past), the range was judged to be the easiest measure to use. A range of 0 indicates that all three raters assigned the same score to the artifact. A range of 1 indicates that 2 raters gave the same score and the third gave a score that was 1 point off. Ranges of 2 and 3 are more difficult to interpret, as they could indicate either all raters giving </w:t>
      </w:r>
      <w:r>
        <w:lastRenderedPageBreak/>
        <w:t>different scores or two raters in agreement and one rater substantially disagreeing. As noted in the meeting 3 summary, the team expressed satisfaction that these results indicate a fair process and a sufficiently high level of agreement between teammates.</w:t>
      </w:r>
    </w:p>
    <w:p w14:paraId="2800D4E6" w14:textId="77777777" w:rsidR="006F0271" w:rsidRPr="00AC5F34" w:rsidRDefault="006F0271" w:rsidP="006F0271"/>
    <w:tbl>
      <w:tblPr>
        <w:tblStyle w:val="TableGrid"/>
        <w:tblW w:w="0" w:type="auto"/>
        <w:tblLook w:val="04A0" w:firstRow="1" w:lastRow="0" w:firstColumn="1" w:lastColumn="0" w:noHBand="0" w:noVBand="1"/>
      </w:tblPr>
      <w:tblGrid>
        <w:gridCol w:w="1870"/>
        <w:gridCol w:w="1870"/>
        <w:gridCol w:w="1870"/>
        <w:gridCol w:w="1870"/>
        <w:gridCol w:w="1870"/>
      </w:tblGrid>
      <w:tr w:rsidR="006F0271" w14:paraId="205F69C6" w14:textId="77777777" w:rsidTr="00773B23">
        <w:tc>
          <w:tcPr>
            <w:tcW w:w="1870" w:type="dxa"/>
          </w:tcPr>
          <w:p w14:paraId="42F44F79" w14:textId="77777777" w:rsidR="006F0271" w:rsidRDefault="006F0271" w:rsidP="00773B23">
            <w:r>
              <w:t>Dimension</w:t>
            </w:r>
          </w:p>
        </w:tc>
        <w:tc>
          <w:tcPr>
            <w:tcW w:w="1870" w:type="dxa"/>
          </w:tcPr>
          <w:p w14:paraId="3199BF95" w14:textId="77777777" w:rsidR="006F0271" w:rsidRDefault="006F0271" w:rsidP="00773B23">
            <w:r>
              <w:t>Range 0</w:t>
            </w:r>
          </w:p>
        </w:tc>
        <w:tc>
          <w:tcPr>
            <w:tcW w:w="1870" w:type="dxa"/>
          </w:tcPr>
          <w:p w14:paraId="72577CCF" w14:textId="77777777" w:rsidR="006F0271" w:rsidRDefault="006F0271" w:rsidP="00773B23">
            <w:r>
              <w:t>Range 1</w:t>
            </w:r>
          </w:p>
        </w:tc>
        <w:tc>
          <w:tcPr>
            <w:tcW w:w="1870" w:type="dxa"/>
          </w:tcPr>
          <w:p w14:paraId="215C0E8E" w14:textId="77777777" w:rsidR="006F0271" w:rsidRDefault="006F0271" w:rsidP="00773B23">
            <w:r>
              <w:t>Range 2</w:t>
            </w:r>
          </w:p>
        </w:tc>
        <w:tc>
          <w:tcPr>
            <w:tcW w:w="1870" w:type="dxa"/>
          </w:tcPr>
          <w:p w14:paraId="63A73314" w14:textId="77777777" w:rsidR="006F0271" w:rsidRDefault="006F0271" w:rsidP="00773B23">
            <w:r>
              <w:t>Range 3</w:t>
            </w:r>
          </w:p>
        </w:tc>
      </w:tr>
      <w:tr w:rsidR="006F0271" w14:paraId="38FB98B3" w14:textId="77777777" w:rsidTr="00773B23">
        <w:tc>
          <w:tcPr>
            <w:tcW w:w="1870" w:type="dxa"/>
          </w:tcPr>
          <w:p w14:paraId="07698CCD" w14:textId="77777777" w:rsidR="006F0271" w:rsidRDefault="006F0271" w:rsidP="00773B23">
            <w:r>
              <w:t>Interpretation</w:t>
            </w:r>
          </w:p>
        </w:tc>
        <w:tc>
          <w:tcPr>
            <w:tcW w:w="1870" w:type="dxa"/>
            <w:vAlign w:val="bottom"/>
          </w:tcPr>
          <w:p w14:paraId="774B4CF7" w14:textId="77777777" w:rsidR="006F0271" w:rsidRDefault="006F0271" w:rsidP="00773B23">
            <w:pPr>
              <w:jc w:val="right"/>
              <w:rPr>
                <w:rFonts w:ascii="Calibri" w:hAnsi="Calibri" w:cs="Calibri"/>
                <w:color w:val="000000"/>
              </w:rPr>
            </w:pPr>
            <w:r>
              <w:rPr>
                <w:rFonts w:ascii="Calibri" w:hAnsi="Calibri" w:cs="Calibri"/>
                <w:color w:val="000000"/>
              </w:rPr>
              <w:t>44.55%</w:t>
            </w:r>
          </w:p>
        </w:tc>
        <w:tc>
          <w:tcPr>
            <w:tcW w:w="1870" w:type="dxa"/>
            <w:vAlign w:val="bottom"/>
          </w:tcPr>
          <w:p w14:paraId="1ED49E49" w14:textId="77777777" w:rsidR="006F0271" w:rsidRDefault="006F0271" w:rsidP="00773B23">
            <w:pPr>
              <w:jc w:val="right"/>
              <w:rPr>
                <w:rFonts w:ascii="Calibri" w:hAnsi="Calibri" w:cs="Calibri"/>
                <w:color w:val="000000"/>
              </w:rPr>
            </w:pPr>
            <w:r>
              <w:rPr>
                <w:rFonts w:ascii="Calibri" w:hAnsi="Calibri" w:cs="Calibri"/>
                <w:color w:val="000000"/>
              </w:rPr>
              <w:t>45.45%</w:t>
            </w:r>
          </w:p>
        </w:tc>
        <w:tc>
          <w:tcPr>
            <w:tcW w:w="1870" w:type="dxa"/>
            <w:vAlign w:val="bottom"/>
          </w:tcPr>
          <w:p w14:paraId="5DC9286A" w14:textId="77777777" w:rsidR="006F0271" w:rsidRDefault="006F0271" w:rsidP="00773B23">
            <w:pPr>
              <w:jc w:val="right"/>
              <w:rPr>
                <w:rFonts w:ascii="Calibri" w:hAnsi="Calibri" w:cs="Calibri"/>
                <w:color w:val="000000"/>
              </w:rPr>
            </w:pPr>
            <w:r>
              <w:rPr>
                <w:rFonts w:ascii="Calibri" w:hAnsi="Calibri" w:cs="Calibri"/>
                <w:color w:val="000000"/>
              </w:rPr>
              <w:t>9.09%</w:t>
            </w:r>
          </w:p>
        </w:tc>
        <w:tc>
          <w:tcPr>
            <w:tcW w:w="1870" w:type="dxa"/>
            <w:vAlign w:val="bottom"/>
          </w:tcPr>
          <w:p w14:paraId="092058CE" w14:textId="77777777" w:rsidR="006F0271" w:rsidRDefault="006F0271" w:rsidP="00773B23">
            <w:pPr>
              <w:jc w:val="right"/>
              <w:rPr>
                <w:rFonts w:ascii="Calibri" w:hAnsi="Calibri" w:cs="Calibri"/>
                <w:color w:val="000000"/>
              </w:rPr>
            </w:pPr>
            <w:r>
              <w:rPr>
                <w:rFonts w:ascii="Calibri" w:hAnsi="Calibri" w:cs="Calibri"/>
                <w:color w:val="000000"/>
              </w:rPr>
              <w:t>0.91%</w:t>
            </w:r>
          </w:p>
        </w:tc>
      </w:tr>
      <w:tr w:rsidR="006F0271" w14:paraId="07E4A7B8" w14:textId="77777777" w:rsidTr="00773B23">
        <w:tc>
          <w:tcPr>
            <w:tcW w:w="1870" w:type="dxa"/>
          </w:tcPr>
          <w:p w14:paraId="271DD7E8" w14:textId="77777777" w:rsidR="006F0271" w:rsidRDefault="006F0271" w:rsidP="00773B23">
            <w:r>
              <w:t>Representation</w:t>
            </w:r>
          </w:p>
        </w:tc>
        <w:tc>
          <w:tcPr>
            <w:tcW w:w="1870" w:type="dxa"/>
            <w:vAlign w:val="bottom"/>
          </w:tcPr>
          <w:p w14:paraId="3EF0A0B2" w14:textId="77777777" w:rsidR="006F0271" w:rsidRDefault="006F0271" w:rsidP="00773B23">
            <w:pPr>
              <w:jc w:val="right"/>
              <w:rPr>
                <w:rFonts w:ascii="Calibri" w:hAnsi="Calibri" w:cs="Calibri"/>
                <w:color w:val="000000"/>
              </w:rPr>
            </w:pPr>
            <w:r>
              <w:rPr>
                <w:rFonts w:ascii="Calibri" w:hAnsi="Calibri" w:cs="Calibri"/>
                <w:color w:val="000000"/>
              </w:rPr>
              <w:t>45.45%</w:t>
            </w:r>
          </w:p>
        </w:tc>
        <w:tc>
          <w:tcPr>
            <w:tcW w:w="1870" w:type="dxa"/>
            <w:vAlign w:val="bottom"/>
          </w:tcPr>
          <w:p w14:paraId="30519618" w14:textId="77777777" w:rsidR="006F0271" w:rsidRDefault="006F0271" w:rsidP="00773B23">
            <w:pPr>
              <w:jc w:val="right"/>
              <w:rPr>
                <w:rFonts w:ascii="Calibri" w:hAnsi="Calibri" w:cs="Calibri"/>
                <w:color w:val="000000"/>
              </w:rPr>
            </w:pPr>
            <w:r>
              <w:rPr>
                <w:rFonts w:ascii="Calibri" w:hAnsi="Calibri" w:cs="Calibri"/>
                <w:color w:val="000000"/>
              </w:rPr>
              <w:t>42.73%</w:t>
            </w:r>
          </w:p>
        </w:tc>
        <w:tc>
          <w:tcPr>
            <w:tcW w:w="1870" w:type="dxa"/>
            <w:vAlign w:val="bottom"/>
          </w:tcPr>
          <w:p w14:paraId="44F7F0DC" w14:textId="77777777" w:rsidR="006F0271" w:rsidRDefault="006F0271" w:rsidP="00773B23">
            <w:pPr>
              <w:jc w:val="right"/>
              <w:rPr>
                <w:rFonts w:ascii="Calibri" w:hAnsi="Calibri" w:cs="Calibri"/>
                <w:color w:val="000000"/>
              </w:rPr>
            </w:pPr>
            <w:r>
              <w:rPr>
                <w:rFonts w:ascii="Calibri" w:hAnsi="Calibri" w:cs="Calibri"/>
                <w:color w:val="000000"/>
              </w:rPr>
              <w:t>11.82%</w:t>
            </w:r>
          </w:p>
        </w:tc>
        <w:tc>
          <w:tcPr>
            <w:tcW w:w="1870" w:type="dxa"/>
            <w:vAlign w:val="bottom"/>
          </w:tcPr>
          <w:p w14:paraId="76DFEF1A" w14:textId="77777777" w:rsidR="006F0271" w:rsidRDefault="006F0271" w:rsidP="00773B23">
            <w:pPr>
              <w:jc w:val="right"/>
              <w:rPr>
                <w:rFonts w:ascii="Calibri" w:hAnsi="Calibri" w:cs="Calibri"/>
                <w:color w:val="000000"/>
              </w:rPr>
            </w:pPr>
            <w:r>
              <w:rPr>
                <w:rFonts w:ascii="Calibri" w:hAnsi="Calibri" w:cs="Calibri"/>
                <w:color w:val="000000"/>
              </w:rPr>
              <w:t>0.00%</w:t>
            </w:r>
          </w:p>
        </w:tc>
      </w:tr>
      <w:tr w:rsidR="006F0271" w14:paraId="1D829075" w14:textId="77777777" w:rsidTr="00773B23">
        <w:tc>
          <w:tcPr>
            <w:tcW w:w="1870" w:type="dxa"/>
          </w:tcPr>
          <w:p w14:paraId="6A02E747" w14:textId="77777777" w:rsidR="006F0271" w:rsidRDefault="006F0271" w:rsidP="00773B23">
            <w:r>
              <w:t>Calculation</w:t>
            </w:r>
          </w:p>
        </w:tc>
        <w:tc>
          <w:tcPr>
            <w:tcW w:w="1870" w:type="dxa"/>
            <w:vAlign w:val="bottom"/>
          </w:tcPr>
          <w:p w14:paraId="0C6F79CB" w14:textId="77777777" w:rsidR="006F0271" w:rsidRDefault="006F0271" w:rsidP="00773B23">
            <w:pPr>
              <w:jc w:val="right"/>
              <w:rPr>
                <w:rFonts w:ascii="Calibri" w:hAnsi="Calibri" w:cs="Calibri"/>
                <w:color w:val="000000"/>
              </w:rPr>
            </w:pPr>
            <w:r>
              <w:rPr>
                <w:rFonts w:ascii="Calibri" w:hAnsi="Calibri" w:cs="Calibri"/>
                <w:color w:val="000000"/>
              </w:rPr>
              <w:t>51.11%</w:t>
            </w:r>
          </w:p>
        </w:tc>
        <w:tc>
          <w:tcPr>
            <w:tcW w:w="1870" w:type="dxa"/>
            <w:vAlign w:val="bottom"/>
          </w:tcPr>
          <w:p w14:paraId="2BA022E9" w14:textId="77777777" w:rsidR="006F0271" w:rsidRDefault="006F0271" w:rsidP="00773B23">
            <w:pPr>
              <w:jc w:val="right"/>
              <w:rPr>
                <w:rFonts w:ascii="Calibri" w:hAnsi="Calibri" w:cs="Calibri"/>
                <w:color w:val="000000"/>
              </w:rPr>
            </w:pPr>
            <w:r>
              <w:rPr>
                <w:rFonts w:ascii="Calibri" w:hAnsi="Calibri" w:cs="Calibri"/>
                <w:color w:val="000000"/>
              </w:rPr>
              <w:t>35.56%</w:t>
            </w:r>
          </w:p>
        </w:tc>
        <w:tc>
          <w:tcPr>
            <w:tcW w:w="1870" w:type="dxa"/>
            <w:vAlign w:val="bottom"/>
          </w:tcPr>
          <w:p w14:paraId="39680708" w14:textId="77777777" w:rsidR="006F0271" w:rsidRDefault="006F0271" w:rsidP="00773B23">
            <w:pPr>
              <w:jc w:val="right"/>
              <w:rPr>
                <w:rFonts w:ascii="Calibri" w:hAnsi="Calibri" w:cs="Calibri"/>
                <w:color w:val="000000"/>
              </w:rPr>
            </w:pPr>
            <w:r>
              <w:rPr>
                <w:rFonts w:ascii="Calibri" w:hAnsi="Calibri" w:cs="Calibri"/>
                <w:color w:val="000000"/>
              </w:rPr>
              <w:t>13.33%</w:t>
            </w:r>
          </w:p>
        </w:tc>
        <w:tc>
          <w:tcPr>
            <w:tcW w:w="1870" w:type="dxa"/>
            <w:vAlign w:val="bottom"/>
          </w:tcPr>
          <w:p w14:paraId="66E29532" w14:textId="77777777" w:rsidR="006F0271" w:rsidRDefault="006F0271" w:rsidP="00773B23">
            <w:pPr>
              <w:jc w:val="right"/>
              <w:rPr>
                <w:rFonts w:ascii="Calibri" w:hAnsi="Calibri" w:cs="Calibri"/>
                <w:color w:val="000000"/>
              </w:rPr>
            </w:pPr>
            <w:r>
              <w:rPr>
                <w:rFonts w:ascii="Calibri" w:hAnsi="Calibri" w:cs="Calibri"/>
                <w:color w:val="000000"/>
              </w:rPr>
              <w:t>0.00%</w:t>
            </w:r>
          </w:p>
        </w:tc>
      </w:tr>
      <w:tr w:rsidR="006F0271" w14:paraId="240C0395" w14:textId="77777777" w:rsidTr="00773B23">
        <w:tc>
          <w:tcPr>
            <w:tcW w:w="1870" w:type="dxa"/>
          </w:tcPr>
          <w:p w14:paraId="34ECA48F" w14:textId="77777777" w:rsidR="006F0271" w:rsidRDefault="006F0271" w:rsidP="00773B23">
            <w:r>
              <w:t>Application</w:t>
            </w:r>
          </w:p>
        </w:tc>
        <w:tc>
          <w:tcPr>
            <w:tcW w:w="1870" w:type="dxa"/>
            <w:vAlign w:val="bottom"/>
          </w:tcPr>
          <w:p w14:paraId="7571C36F" w14:textId="77777777" w:rsidR="006F0271" w:rsidRDefault="006F0271" w:rsidP="00773B23">
            <w:pPr>
              <w:jc w:val="right"/>
              <w:rPr>
                <w:rFonts w:ascii="Calibri" w:hAnsi="Calibri" w:cs="Calibri"/>
                <w:color w:val="000000"/>
              </w:rPr>
            </w:pPr>
            <w:r>
              <w:rPr>
                <w:rFonts w:ascii="Calibri" w:hAnsi="Calibri" w:cs="Calibri"/>
                <w:color w:val="000000"/>
              </w:rPr>
              <w:t>50.00%</w:t>
            </w:r>
          </w:p>
        </w:tc>
        <w:tc>
          <w:tcPr>
            <w:tcW w:w="1870" w:type="dxa"/>
            <w:vAlign w:val="bottom"/>
          </w:tcPr>
          <w:p w14:paraId="28637016" w14:textId="77777777" w:rsidR="006F0271" w:rsidRDefault="006F0271" w:rsidP="00773B23">
            <w:pPr>
              <w:jc w:val="right"/>
              <w:rPr>
                <w:rFonts w:ascii="Calibri" w:hAnsi="Calibri" w:cs="Calibri"/>
                <w:color w:val="000000"/>
              </w:rPr>
            </w:pPr>
            <w:r>
              <w:rPr>
                <w:rFonts w:ascii="Calibri" w:hAnsi="Calibri" w:cs="Calibri"/>
                <w:color w:val="000000"/>
              </w:rPr>
              <w:t>45.00%</w:t>
            </w:r>
          </w:p>
        </w:tc>
        <w:tc>
          <w:tcPr>
            <w:tcW w:w="1870" w:type="dxa"/>
            <w:vAlign w:val="bottom"/>
          </w:tcPr>
          <w:p w14:paraId="09CFD217" w14:textId="77777777" w:rsidR="006F0271" w:rsidRDefault="006F0271" w:rsidP="00773B23">
            <w:pPr>
              <w:jc w:val="right"/>
              <w:rPr>
                <w:rFonts w:ascii="Calibri" w:hAnsi="Calibri" w:cs="Calibri"/>
                <w:color w:val="000000"/>
              </w:rPr>
            </w:pPr>
            <w:r>
              <w:rPr>
                <w:rFonts w:ascii="Calibri" w:hAnsi="Calibri" w:cs="Calibri"/>
                <w:color w:val="000000"/>
              </w:rPr>
              <w:t>5.00%</w:t>
            </w:r>
          </w:p>
        </w:tc>
        <w:tc>
          <w:tcPr>
            <w:tcW w:w="1870" w:type="dxa"/>
            <w:vAlign w:val="bottom"/>
          </w:tcPr>
          <w:p w14:paraId="04BB6485" w14:textId="77777777" w:rsidR="006F0271" w:rsidRDefault="006F0271" w:rsidP="00773B23">
            <w:pPr>
              <w:jc w:val="right"/>
              <w:rPr>
                <w:rFonts w:ascii="Calibri" w:hAnsi="Calibri" w:cs="Calibri"/>
                <w:color w:val="000000"/>
              </w:rPr>
            </w:pPr>
            <w:r>
              <w:rPr>
                <w:rFonts w:ascii="Calibri" w:hAnsi="Calibri" w:cs="Calibri"/>
                <w:color w:val="000000"/>
              </w:rPr>
              <w:t>0.00%</w:t>
            </w:r>
          </w:p>
        </w:tc>
      </w:tr>
    </w:tbl>
    <w:p w14:paraId="7BF2269E" w14:textId="77777777" w:rsidR="006F0271" w:rsidRDefault="006F0271" w:rsidP="006F0271"/>
    <w:p w14:paraId="13C08425" w14:textId="77777777" w:rsidR="006F0271" w:rsidRPr="006F0271" w:rsidRDefault="006F0271" w:rsidP="006F0271">
      <w:pPr>
        <w:rPr>
          <w:u w:val="single"/>
        </w:rPr>
      </w:pPr>
      <w:r w:rsidRPr="006F0271">
        <w:rPr>
          <w:u w:val="single"/>
        </w:rPr>
        <w:t>Assessment Scores</w:t>
      </w:r>
    </w:p>
    <w:p w14:paraId="408D3484" w14:textId="77777777" w:rsidR="006F0271" w:rsidRDefault="006F0271" w:rsidP="006F0271">
      <w:pPr>
        <w:rPr>
          <w:b/>
          <w:i/>
        </w:rPr>
      </w:pPr>
    </w:p>
    <w:p w14:paraId="487A5232" w14:textId="2F9BA106" w:rsidR="006F0271" w:rsidRDefault="006F0271" w:rsidP="006F0271">
      <w:r>
        <w:tab/>
        <w:t>The official score assigned to each artifact was the median score assigned by the 3 raters. In cases of full agreement or a score range of 1, this was also the score that was assigned by the majority of raters. For larger ranges, the result was that artifacts would receive the middle score.</w:t>
      </w:r>
    </w:p>
    <w:p w14:paraId="17B0169E" w14:textId="70688E5F" w:rsidR="006F0271" w:rsidRDefault="006F0271" w:rsidP="006F0271">
      <w:r>
        <w:tab/>
      </w:r>
    </w:p>
    <w:p w14:paraId="762AB976" w14:textId="77777777" w:rsidR="006F0271" w:rsidRDefault="006F0271">
      <w:r>
        <w:br w:type="page"/>
      </w:r>
    </w:p>
    <w:p w14:paraId="21AC7746" w14:textId="77777777" w:rsidR="006F0271" w:rsidRPr="00BC2BB1" w:rsidRDefault="006F0271" w:rsidP="006F0271"/>
    <w:tbl>
      <w:tblPr>
        <w:tblW w:w="7470" w:type="dxa"/>
        <w:tblLook w:val="04A0" w:firstRow="1" w:lastRow="0" w:firstColumn="1" w:lastColumn="0" w:noHBand="0" w:noVBand="1"/>
      </w:tblPr>
      <w:tblGrid>
        <w:gridCol w:w="1170"/>
        <w:gridCol w:w="1379"/>
        <w:gridCol w:w="871"/>
        <w:gridCol w:w="1080"/>
        <w:gridCol w:w="900"/>
        <w:gridCol w:w="1080"/>
        <w:gridCol w:w="990"/>
      </w:tblGrid>
      <w:tr w:rsidR="006F0271" w:rsidRPr="00587F00" w14:paraId="6AB18DC8" w14:textId="77777777" w:rsidTr="00773B23">
        <w:trPr>
          <w:trHeight w:val="285"/>
        </w:trPr>
        <w:tc>
          <w:tcPr>
            <w:tcW w:w="1170" w:type="dxa"/>
            <w:vMerge w:val="restart"/>
            <w:tcBorders>
              <w:top w:val="nil"/>
              <w:left w:val="nil"/>
              <w:right w:val="nil"/>
            </w:tcBorders>
            <w:textDirection w:val="btLr"/>
          </w:tcPr>
          <w:p w14:paraId="596065B1" w14:textId="77777777" w:rsidR="006F0271" w:rsidRPr="00587F00" w:rsidRDefault="006F0271" w:rsidP="00773B23">
            <w:pPr>
              <w:ind w:left="113" w:right="113"/>
              <w:rPr>
                <w:rFonts w:ascii="Calibri" w:eastAsia="Times New Roman" w:hAnsi="Calibri" w:cs="Calibri"/>
                <w:b/>
                <w:bCs/>
                <w:i/>
                <w:color w:val="000000"/>
                <w:sz w:val="22"/>
              </w:rPr>
            </w:pPr>
            <w:r w:rsidRPr="00587F00">
              <w:rPr>
                <w:i/>
              </w:rPr>
              <w:t>Interpretation</w:t>
            </w:r>
          </w:p>
        </w:tc>
        <w:tc>
          <w:tcPr>
            <w:tcW w:w="1379" w:type="dxa"/>
            <w:tcBorders>
              <w:top w:val="nil"/>
              <w:left w:val="nil"/>
              <w:bottom w:val="nil"/>
              <w:right w:val="nil"/>
            </w:tcBorders>
            <w:shd w:val="clear" w:color="auto" w:fill="auto"/>
            <w:noWrap/>
            <w:vAlign w:val="bottom"/>
            <w:hideMark/>
          </w:tcPr>
          <w:p w14:paraId="622A1D47" w14:textId="77777777" w:rsidR="006F0271" w:rsidRPr="00587F00" w:rsidRDefault="006F0271" w:rsidP="00773B23">
            <w:pPr>
              <w:rPr>
                <w:rFonts w:ascii="Calibri" w:eastAsia="Times New Roman" w:hAnsi="Calibri" w:cs="Calibri"/>
                <w:b/>
                <w:bCs/>
                <w:color w:val="000000"/>
                <w:sz w:val="22"/>
              </w:rPr>
            </w:pPr>
            <w:r w:rsidRPr="00587F00">
              <w:rPr>
                <w:rFonts w:ascii="Calibri" w:eastAsia="Times New Roman" w:hAnsi="Calibri" w:cs="Calibri"/>
                <w:b/>
                <w:bCs/>
                <w:color w:val="000000"/>
                <w:sz w:val="22"/>
              </w:rPr>
              <w:t>Artifact</w:t>
            </w:r>
          </w:p>
        </w:tc>
        <w:tc>
          <w:tcPr>
            <w:tcW w:w="871" w:type="dxa"/>
            <w:tcBorders>
              <w:top w:val="nil"/>
              <w:left w:val="nil"/>
              <w:bottom w:val="nil"/>
              <w:right w:val="nil"/>
            </w:tcBorders>
            <w:shd w:val="clear" w:color="auto" w:fill="auto"/>
            <w:noWrap/>
            <w:vAlign w:val="bottom"/>
            <w:hideMark/>
          </w:tcPr>
          <w:p w14:paraId="04B20ECE" w14:textId="77777777" w:rsidR="006F0271" w:rsidRPr="00587F00" w:rsidRDefault="006F0271" w:rsidP="00773B23">
            <w:pPr>
              <w:rPr>
                <w:rFonts w:ascii="Calibri" w:eastAsia="Times New Roman" w:hAnsi="Calibri" w:cs="Calibri"/>
                <w:b/>
                <w:bCs/>
                <w:color w:val="000000"/>
                <w:sz w:val="22"/>
              </w:rPr>
            </w:pPr>
            <w:r w:rsidRPr="00587F00">
              <w:rPr>
                <w:rFonts w:ascii="Calibri" w:eastAsia="Times New Roman" w:hAnsi="Calibri" w:cs="Calibri"/>
                <w:b/>
                <w:bCs/>
                <w:color w:val="000000"/>
                <w:sz w:val="22"/>
              </w:rPr>
              <w:t>Avg. Score</w:t>
            </w:r>
          </w:p>
        </w:tc>
        <w:tc>
          <w:tcPr>
            <w:tcW w:w="1080" w:type="dxa"/>
            <w:tcBorders>
              <w:top w:val="nil"/>
              <w:left w:val="nil"/>
              <w:bottom w:val="nil"/>
              <w:right w:val="nil"/>
            </w:tcBorders>
            <w:shd w:val="clear" w:color="auto" w:fill="auto"/>
            <w:noWrap/>
            <w:vAlign w:val="bottom"/>
            <w:hideMark/>
          </w:tcPr>
          <w:p w14:paraId="3DEE986D" w14:textId="77777777" w:rsidR="006F0271" w:rsidRPr="00587F00" w:rsidRDefault="006F0271" w:rsidP="00773B23">
            <w:pPr>
              <w:jc w:val="right"/>
              <w:rPr>
                <w:rFonts w:ascii="Calibri" w:eastAsia="Times New Roman" w:hAnsi="Calibri" w:cs="Calibri"/>
                <w:b/>
                <w:bCs/>
                <w:color w:val="000000"/>
                <w:sz w:val="22"/>
              </w:rPr>
            </w:pPr>
            <w:r w:rsidRPr="00587F00">
              <w:rPr>
                <w:rFonts w:ascii="Calibri" w:eastAsia="Times New Roman" w:hAnsi="Calibri" w:cs="Calibri"/>
                <w:b/>
                <w:bCs/>
                <w:color w:val="000000"/>
                <w:sz w:val="22"/>
              </w:rPr>
              <w:t>4</w:t>
            </w:r>
          </w:p>
        </w:tc>
        <w:tc>
          <w:tcPr>
            <w:tcW w:w="900" w:type="dxa"/>
            <w:tcBorders>
              <w:top w:val="nil"/>
              <w:left w:val="nil"/>
              <w:bottom w:val="nil"/>
              <w:right w:val="nil"/>
            </w:tcBorders>
            <w:shd w:val="clear" w:color="auto" w:fill="auto"/>
            <w:noWrap/>
            <w:vAlign w:val="bottom"/>
            <w:hideMark/>
          </w:tcPr>
          <w:p w14:paraId="055A7228" w14:textId="77777777" w:rsidR="006F0271" w:rsidRPr="00587F00" w:rsidRDefault="006F0271" w:rsidP="00773B23">
            <w:pPr>
              <w:jc w:val="right"/>
              <w:rPr>
                <w:rFonts w:ascii="Calibri" w:eastAsia="Times New Roman" w:hAnsi="Calibri" w:cs="Calibri"/>
                <w:b/>
                <w:bCs/>
                <w:color w:val="000000"/>
                <w:sz w:val="22"/>
              </w:rPr>
            </w:pPr>
            <w:r w:rsidRPr="00587F00">
              <w:rPr>
                <w:rFonts w:ascii="Calibri" w:eastAsia="Times New Roman" w:hAnsi="Calibri" w:cs="Calibri"/>
                <w:b/>
                <w:bCs/>
                <w:color w:val="000000"/>
                <w:sz w:val="22"/>
              </w:rPr>
              <w:t>3</w:t>
            </w:r>
          </w:p>
        </w:tc>
        <w:tc>
          <w:tcPr>
            <w:tcW w:w="1080" w:type="dxa"/>
            <w:tcBorders>
              <w:top w:val="nil"/>
              <w:left w:val="nil"/>
              <w:bottom w:val="nil"/>
              <w:right w:val="nil"/>
            </w:tcBorders>
            <w:shd w:val="clear" w:color="auto" w:fill="auto"/>
            <w:noWrap/>
            <w:vAlign w:val="bottom"/>
            <w:hideMark/>
          </w:tcPr>
          <w:p w14:paraId="79DA12DD" w14:textId="77777777" w:rsidR="006F0271" w:rsidRPr="00587F00" w:rsidRDefault="006F0271" w:rsidP="00773B23">
            <w:pPr>
              <w:jc w:val="right"/>
              <w:rPr>
                <w:rFonts w:ascii="Calibri" w:eastAsia="Times New Roman" w:hAnsi="Calibri" w:cs="Calibri"/>
                <w:b/>
                <w:bCs/>
                <w:color w:val="000000"/>
                <w:sz w:val="22"/>
              </w:rPr>
            </w:pPr>
            <w:r w:rsidRPr="00587F00">
              <w:rPr>
                <w:rFonts w:ascii="Calibri" w:eastAsia="Times New Roman" w:hAnsi="Calibri" w:cs="Calibri"/>
                <w:b/>
                <w:bCs/>
                <w:color w:val="000000"/>
                <w:sz w:val="22"/>
              </w:rPr>
              <w:t>2</w:t>
            </w:r>
          </w:p>
        </w:tc>
        <w:tc>
          <w:tcPr>
            <w:tcW w:w="990" w:type="dxa"/>
            <w:tcBorders>
              <w:top w:val="nil"/>
              <w:left w:val="nil"/>
              <w:bottom w:val="nil"/>
              <w:right w:val="nil"/>
            </w:tcBorders>
            <w:shd w:val="clear" w:color="auto" w:fill="auto"/>
            <w:noWrap/>
            <w:vAlign w:val="bottom"/>
            <w:hideMark/>
          </w:tcPr>
          <w:p w14:paraId="3E129A2D" w14:textId="77777777" w:rsidR="006F0271" w:rsidRPr="00587F00" w:rsidRDefault="006F0271" w:rsidP="00773B23">
            <w:pPr>
              <w:jc w:val="right"/>
              <w:rPr>
                <w:rFonts w:ascii="Calibri" w:eastAsia="Times New Roman" w:hAnsi="Calibri" w:cs="Calibri"/>
                <w:b/>
                <w:bCs/>
                <w:color w:val="000000"/>
                <w:sz w:val="22"/>
              </w:rPr>
            </w:pPr>
            <w:r w:rsidRPr="00587F00">
              <w:rPr>
                <w:rFonts w:ascii="Calibri" w:eastAsia="Times New Roman" w:hAnsi="Calibri" w:cs="Calibri"/>
                <w:b/>
                <w:bCs/>
                <w:color w:val="000000"/>
                <w:sz w:val="22"/>
              </w:rPr>
              <w:t>1</w:t>
            </w:r>
          </w:p>
        </w:tc>
      </w:tr>
      <w:tr w:rsidR="006F0271" w:rsidRPr="00587F00" w14:paraId="406642E8" w14:textId="77777777" w:rsidTr="00773B23">
        <w:trPr>
          <w:trHeight w:val="285"/>
        </w:trPr>
        <w:tc>
          <w:tcPr>
            <w:tcW w:w="1170" w:type="dxa"/>
            <w:vMerge/>
            <w:tcBorders>
              <w:left w:val="nil"/>
              <w:right w:val="nil"/>
            </w:tcBorders>
          </w:tcPr>
          <w:p w14:paraId="38991EE7" w14:textId="77777777" w:rsidR="006F0271" w:rsidRPr="00587F00" w:rsidRDefault="006F0271" w:rsidP="00773B23">
            <w:pPr>
              <w:rPr>
                <w:rFonts w:ascii="Calibri" w:eastAsia="Times New Roman" w:hAnsi="Calibri" w:cs="Calibri"/>
                <w:color w:val="000000"/>
                <w:sz w:val="22"/>
              </w:rPr>
            </w:pPr>
          </w:p>
        </w:tc>
        <w:tc>
          <w:tcPr>
            <w:tcW w:w="1379" w:type="dxa"/>
            <w:tcBorders>
              <w:top w:val="nil"/>
              <w:left w:val="nil"/>
              <w:bottom w:val="nil"/>
              <w:right w:val="nil"/>
            </w:tcBorders>
            <w:shd w:val="clear" w:color="auto" w:fill="auto"/>
            <w:noWrap/>
            <w:vAlign w:val="bottom"/>
            <w:hideMark/>
          </w:tcPr>
          <w:p w14:paraId="65435750" w14:textId="77777777" w:rsidR="006F0271" w:rsidRPr="00587F00" w:rsidRDefault="006F0271" w:rsidP="00773B23">
            <w:pPr>
              <w:rPr>
                <w:rFonts w:ascii="Calibri" w:eastAsia="Times New Roman" w:hAnsi="Calibri" w:cs="Calibri"/>
                <w:color w:val="000000"/>
                <w:sz w:val="22"/>
              </w:rPr>
            </w:pPr>
            <w:r>
              <w:rPr>
                <w:rFonts w:ascii="Calibri" w:eastAsia="Times New Roman" w:hAnsi="Calibri" w:cs="Calibri"/>
                <w:color w:val="000000"/>
                <w:sz w:val="22"/>
              </w:rPr>
              <w:t>CSC 110</w:t>
            </w:r>
          </w:p>
        </w:tc>
        <w:tc>
          <w:tcPr>
            <w:tcW w:w="871" w:type="dxa"/>
            <w:tcBorders>
              <w:top w:val="nil"/>
              <w:left w:val="nil"/>
              <w:bottom w:val="nil"/>
              <w:right w:val="nil"/>
            </w:tcBorders>
            <w:shd w:val="clear" w:color="auto" w:fill="auto"/>
            <w:noWrap/>
            <w:vAlign w:val="bottom"/>
            <w:hideMark/>
          </w:tcPr>
          <w:p w14:paraId="63797845"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3.65</w:t>
            </w:r>
          </w:p>
        </w:tc>
        <w:tc>
          <w:tcPr>
            <w:tcW w:w="1080" w:type="dxa"/>
            <w:tcBorders>
              <w:top w:val="nil"/>
              <w:left w:val="nil"/>
              <w:bottom w:val="nil"/>
              <w:right w:val="nil"/>
            </w:tcBorders>
            <w:shd w:val="clear" w:color="auto" w:fill="auto"/>
            <w:noWrap/>
            <w:vAlign w:val="bottom"/>
            <w:hideMark/>
          </w:tcPr>
          <w:p w14:paraId="4607D199"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14</w:t>
            </w:r>
          </w:p>
        </w:tc>
        <w:tc>
          <w:tcPr>
            <w:tcW w:w="900" w:type="dxa"/>
            <w:tcBorders>
              <w:top w:val="nil"/>
              <w:left w:val="nil"/>
              <w:bottom w:val="nil"/>
              <w:right w:val="nil"/>
            </w:tcBorders>
            <w:shd w:val="clear" w:color="auto" w:fill="auto"/>
            <w:noWrap/>
            <w:vAlign w:val="bottom"/>
            <w:hideMark/>
          </w:tcPr>
          <w:p w14:paraId="3500AEF4"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5</w:t>
            </w:r>
          </w:p>
        </w:tc>
        <w:tc>
          <w:tcPr>
            <w:tcW w:w="1080" w:type="dxa"/>
            <w:tcBorders>
              <w:top w:val="nil"/>
              <w:left w:val="nil"/>
              <w:bottom w:val="nil"/>
              <w:right w:val="nil"/>
            </w:tcBorders>
            <w:shd w:val="clear" w:color="auto" w:fill="auto"/>
            <w:noWrap/>
            <w:vAlign w:val="bottom"/>
            <w:hideMark/>
          </w:tcPr>
          <w:p w14:paraId="76448E58"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1</w:t>
            </w:r>
          </w:p>
        </w:tc>
        <w:tc>
          <w:tcPr>
            <w:tcW w:w="990" w:type="dxa"/>
            <w:tcBorders>
              <w:top w:val="nil"/>
              <w:left w:val="nil"/>
              <w:bottom w:val="nil"/>
              <w:right w:val="nil"/>
            </w:tcBorders>
            <w:shd w:val="clear" w:color="auto" w:fill="auto"/>
            <w:noWrap/>
            <w:vAlign w:val="bottom"/>
            <w:hideMark/>
          </w:tcPr>
          <w:p w14:paraId="3F15BFA7"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0</w:t>
            </w:r>
          </w:p>
        </w:tc>
      </w:tr>
      <w:tr w:rsidR="006F0271" w:rsidRPr="00587F00" w14:paraId="2A9BBACD" w14:textId="77777777" w:rsidTr="00773B23">
        <w:trPr>
          <w:trHeight w:val="285"/>
        </w:trPr>
        <w:tc>
          <w:tcPr>
            <w:tcW w:w="1170" w:type="dxa"/>
            <w:vMerge/>
            <w:tcBorders>
              <w:left w:val="nil"/>
              <w:right w:val="nil"/>
            </w:tcBorders>
          </w:tcPr>
          <w:p w14:paraId="2E21A4EF" w14:textId="77777777" w:rsidR="006F0271" w:rsidRPr="00587F00" w:rsidRDefault="006F0271" w:rsidP="00773B23">
            <w:pPr>
              <w:rPr>
                <w:rFonts w:ascii="Calibri" w:eastAsia="Times New Roman" w:hAnsi="Calibri" w:cs="Calibri"/>
                <w:color w:val="000000"/>
                <w:sz w:val="22"/>
              </w:rPr>
            </w:pPr>
          </w:p>
        </w:tc>
        <w:tc>
          <w:tcPr>
            <w:tcW w:w="1379" w:type="dxa"/>
            <w:tcBorders>
              <w:top w:val="nil"/>
              <w:left w:val="nil"/>
              <w:bottom w:val="nil"/>
              <w:right w:val="nil"/>
            </w:tcBorders>
            <w:shd w:val="clear" w:color="auto" w:fill="auto"/>
            <w:noWrap/>
            <w:vAlign w:val="bottom"/>
            <w:hideMark/>
          </w:tcPr>
          <w:p w14:paraId="5BC138D1" w14:textId="77777777" w:rsidR="006F0271" w:rsidRPr="00587F00" w:rsidRDefault="006F0271" w:rsidP="00773B23">
            <w:pPr>
              <w:rPr>
                <w:rFonts w:ascii="Calibri" w:eastAsia="Times New Roman" w:hAnsi="Calibri" w:cs="Calibri"/>
                <w:color w:val="000000"/>
                <w:sz w:val="22"/>
              </w:rPr>
            </w:pPr>
            <w:proofErr w:type="spellStart"/>
            <w:r>
              <w:rPr>
                <w:rFonts w:ascii="Calibri" w:eastAsia="Times New Roman" w:hAnsi="Calibri" w:cs="Calibri"/>
                <w:color w:val="000000"/>
                <w:sz w:val="22"/>
              </w:rPr>
              <w:t>PHY</w:t>
            </w:r>
            <w:proofErr w:type="spellEnd"/>
            <w:r>
              <w:rPr>
                <w:rFonts w:ascii="Calibri" w:eastAsia="Times New Roman" w:hAnsi="Calibri" w:cs="Calibri"/>
                <w:color w:val="000000"/>
                <w:sz w:val="22"/>
              </w:rPr>
              <w:t xml:space="preserve"> 140</w:t>
            </w:r>
          </w:p>
        </w:tc>
        <w:tc>
          <w:tcPr>
            <w:tcW w:w="871" w:type="dxa"/>
            <w:tcBorders>
              <w:top w:val="nil"/>
              <w:left w:val="nil"/>
              <w:bottom w:val="nil"/>
              <w:right w:val="nil"/>
            </w:tcBorders>
            <w:shd w:val="clear" w:color="auto" w:fill="auto"/>
            <w:noWrap/>
            <w:vAlign w:val="bottom"/>
            <w:hideMark/>
          </w:tcPr>
          <w:p w14:paraId="1EAD9B85"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2.53</w:t>
            </w:r>
          </w:p>
        </w:tc>
        <w:tc>
          <w:tcPr>
            <w:tcW w:w="1080" w:type="dxa"/>
            <w:tcBorders>
              <w:top w:val="nil"/>
              <w:left w:val="nil"/>
              <w:bottom w:val="nil"/>
              <w:right w:val="nil"/>
            </w:tcBorders>
            <w:shd w:val="clear" w:color="auto" w:fill="auto"/>
            <w:noWrap/>
            <w:vAlign w:val="bottom"/>
            <w:hideMark/>
          </w:tcPr>
          <w:p w14:paraId="0533FEE2"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2</w:t>
            </w:r>
          </w:p>
        </w:tc>
        <w:tc>
          <w:tcPr>
            <w:tcW w:w="900" w:type="dxa"/>
            <w:tcBorders>
              <w:top w:val="nil"/>
              <w:left w:val="nil"/>
              <w:bottom w:val="nil"/>
              <w:right w:val="nil"/>
            </w:tcBorders>
            <w:shd w:val="clear" w:color="auto" w:fill="auto"/>
            <w:noWrap/>
            <w:vAlign w:val="bottom"/>
            <w:hideMark/>
          </w:tcPr>
          <w:p w14:paraId="36C5D51B"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13</w:t>
            </w:r>
          </w:p>
        </w:tc>
        <w:tc>
          <w:tcPr>
            <w:tcW w:w="1080" w:type="dxa"/>
            <w:tcBorders>
              <w:top w:val="nil"/>
              <w:left w:val="nil"/>
              <w:bottom w:val="nil"/>
              <w:right w:val="nil"/>
            </w:tcBorders>
            <w:shd w:val="clear" w:color="auto" w:fill="auto"/>
            <w:noWrap/>
            <w:vAlign w:val="bottom"/>
            <w:hideMark/>
          </w:tcPr>
          <w:p w14:paraId="5E8D3EB4"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14</w:t>
            </w:r>
          </w:p>
        </w:tc>
        <w:tc>
          <w:tcPr>
            <w:tcW w:w="990" w:type="dxa"/>
            <w:tcBorders>
              <w:top w:val="nil"/>
              <w:left w:val="nil"/>
              <w:bottom w:val="nil"/>
              <w:right w:val="nil"/>
            </w:tcBorders>
            <w:shd w:val="clear" w:color="auto" w:fill="auto"/>
            <w:noWrap/>
            <w:vAlign w:val="bottom"/>
            <w:hideMark/>
          </w:tcPr>
          <w:p w14:paraId="6BAB6DAF"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1</w:t>
            </w:r>
          </w:p>
        </w:tc>
      </w:tr>
      <w:tr w:rsidR="006F0271" w:rsidRPr="00587F00" w14:paraId="6B01A944" w14:textId="77777777" w:rsidTr="00773B23">
        <w:trPr>
          <w:trHeight w:val="285"/>
        </w:trPr>
        <w:tc>
          <w:tcPr>
            <w:tcW w:w="1170" w:type="dxa"/>
            <w:vMerge/>
            <w:tcBorders>
              <w:left w:val="nil"/>
              <w:right w:val="nil"/>
            </w:tcBorders>
          </w:tcPr>
          <w:p w14:paraId="335A176D" w14:textId="77777777" w:rsidR="006F0271" w:rsidRPr="00587F00" w:rsidRDefault="006F0271" w:rsidP="00773B23">
            <w:pPr>
              <w:rPr>
                <w:rFonts w:ascii="Calibri" w:eastAsia="Times New Roman" w:hAnsi="Calibri" w:cs="Calibri"/>
                <w:color w:val="000000"/>
                <w:sz w:val="22"/>
              </w:rPr>
            </w:pPr>
          </w:p>
        </w:tc>
        <w:tc>
          <w:tcPr>
            <w:tcW w:w="1379" w:type="dxa"/>
            <w:tcBorders>
              <w:top w:val="nil"/>
              <w:left w:val="nil"/>
              <w:bottom w:val="nil"/>
              <w:right w:val="nil"/>
            </w:tcBorders>
            <w:shd w:val="clear" w:color="auto" w:fill="auto"/>
            <w:noWrap/>
            <w:vAlign w:val="bottom"/>
            <w:hideMark/>
          </w:tcPr>
          <w:p w14:paraId="224178FB" w14:textId="77777777" w:rsidR="006F0271" w:rsidRPr="00587F00" w:rsidRDefault="006F0271" w:rsidP="00773B23">
            <w:pPr>
              <w:rPr>
                <w:rFonts w:ascii="Calibri" w:eastAsia="Times New Roman" w:hAnsi="Calibri" w:cs="Calibri"/>
                <w:color w:val="000000"/>
                <w:sz w:val="22"/>
              </w:rPr>
            </w:pPr>
            <w:r>
              <w:rPr>
                <w:rFonts w:ascii="Calibri" w:eastAsia="Times New Roman" w:hAnsi="Calibri" w:cs="Calibri"/>
                <w:color w:val="000000"/>
                <w:sz w:val="22"/>
              </w:rPr>
              <w:t>ECO 112</w:t>
            </w:r>
          </w:p>
        </w:tc>
        <w:tc>
          <w:tcPr>
            <w:tcW w:w="871" w:type="dxa"/>
            <w:tcBorders>
              <w:top w:val="nil"/>
              <w:left w:val="nil"/>
              <w:bottom w:val="nil"/>
              <w:right w:val="nil"/>
            </w:tcBorders>
            <w:shd w:val="clear" w:color="auto" w:fill="auto"/>
            <w:noWrap/>
            <w:vAlign w:val="bottom"/>
            <w:hideMark/>
          </w:tcPr>
          <w:p w14:paraId="44CAFA7E"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2.57</w:t>
            </w:r>
          </w:p>
        </w:tc>
        <w:tc>
          <w:tcPr>
            <w:tcW w:w="1080" w:type="dxa"/>
            <w:tcBorders>
              <w:top w:val="nil"/>
              <w:left w:val="nil"/>
              <w:bottom w:val="nil"/>
              <w:right w:val="nil"/>
            </w:tcBorders>
            <w:shd w:val="clear" w:color="auto" w:fill="auto"/>
            <w:noWrap/>
            <w:vAlign w:val="bottom"/>
            <w:hideMark/>
          </w:tcPr>
          <w:p w14:paraId="39F88E4A"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11</w:t>
            </w:r>
          </w:p>
        </w:tc>
        <w:tc>
          <w:tcPr>
            <w:tcW w:w="900" w:type="dxa"/>
            <w:tcBorders>
              <w:top w:val="nil"/>
              <w:left w:val="nil"/>
              <w:bottom w:val="nil"/>
              <w:right w:val="nil"/>
            </w:tcBorders>
            <w:shd w:val="clear" w:color="auto" w:fill="auto"/>
            <w:noWrap/>
            <w:vAlign w:val="bottom"/>
            <w:hideMark/>
          </w:tcPr>
          <w:p w14:paraId="0F77708C"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3</w:t>
            </w:r>
          </w:p>
        </w:tc>
        <w:tc>
          <w:tcPr>
            <w:tcW w:w="1080" w:type="dxa"/>
            <w:tcBorders>
              <w:top w:val="nil"/>
              <w:left w:val="nil"/>
              <w:bottom w:val="nil"/>
              <w:right w:val="nil"/>
            </w:tcBorders>
            <w:shd w:val="clear" w:color="auto" w:fill="auto"/>
            <w:noWrap/>
            <w:vAlign w:val="bottom"/>
            <w:hideMark/>
          </w:tcPr>
          <w:p w14:paraId="74255F28"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8</w:t>
            </w:r>
          </w:p>
        </w:tc>
        <w:tc>
          <w:tcPr>
            <w:tcW w:w="990" w:type="dxa"/>
            <w:tcBorders>
              <w:top w:val="nil"/>
              <w:left w:val="nil"/>
              <w:bottom w:val="nil"/>
              <w:right w:val="nil"/>
            </w:tcBorders>
            <w:shd w:val="clear" w:color="auto" w:fill="auto"/>
            <w:noWrap/>
            <w:vAlign w:val="bottom"/>
            <w:hideMark/>
          </w:tcPr>
          <w:p w14:paraId="58C0797E"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8</w:t>
            </w:r>
          </w:p>
        </w:tc>
      </w:tr>
      <w:tr w:rsidR="006F0271" w:rsidRPr="00587F00" w14:paraId="3D2456FA" w14:textId="77777777" w:rsidTr="00773B23">
        <w:trPr>
          <w:trHeight w:val="285"/>
        </w:trPr>
        <w:tc>
          <w:tcPr>
            <w:tcW w:w="1170" w:type="dxa"/>
            <w:vMerge/>
            <w:tcBorders>
              <w:left w:val="nil"/>
              <w:right w:val="nil"/>
            </w:tcBorders>
          </w:tcPr>
          <w:p w14:paraId="39C79562" w14:textId="77777777" w:rsidR="006F0271" w:rsidRPr="00587F00" w:rsidRDefault="006F0271" w:rsidP="00773B23">
            <w:pPr>
              <w:rPr>
                <w:rFonts w:ascii="Calibri" w:eastAsia="Times New Roman" w:hAnsi="Calibri" w:cs="Calibri"/>
                <w:color w:val="000000"/>
                <w:sz w:val="22"/>
              </w:rPr>
            </w:pPr>
          </w:p>
        </w:tc>
        <w:tc>
          <w:tcPr>
            <w:tcW w:w="1379" w:type="dxa"/>
            <w:tcBorders>
              <w:top w:val="nil"/>
              <w:left w:val="nil"/>
              <w:bottom w:val="nil"/>
              <w:right w:val="nil"/>
            </w:tcBorders>
            <w:shd w:val="clear" w:color="auto" w:fill="auto"/>
            <w:noWrap/>
            <w:vAlign w:val="bottom"/>
            <w:hideMark/>
          </w:tcPr>
          <w:p w14:paraId="38BA97DC" w14:textId="77777777" w:rsidR="006F0271" w:rsidRPr="00587F00" w:rsidRDefault="006F0271" w:rsidP="00773B23">
            <w:pPr>
              <w:rPr>
                <w:rFonts w:ascii="Calibri" w:eastAsia="Times New Roman" w:hAnsi="Calibri" w:cs="Calibri"/>
                <w:color w:val="000000"/>
                <w:sz w:val="22"/>
              </w:rPr>
            </w:pPr>
            <w:r>
              <w:rPr>
                <w:rFonts w:ascii="Calibri" w:eastAsia="Times New Roman" w:hAnsi="Calibri" w:cs="Calibri"/>
                <w:color w:val="000000"/>
                <w:sz w:val="22"/>
              </w:rPr>
              <w:t>ECO 111</w:t>
            </w:r>
          </w:p>
        </w:tc>
        <w:tc>
          <w:tcPr>
            <w:tcW w:w="871" w:type="dxa"/>
            <w:tcBorders>
              <w:top w:val="nil"/>
              <w:left w:val="nil"/>
              <w:bottom w:val="nil"/>
              <w:right w:val="nil"/>
            </w:tcBorders>
            <w:shd w:val="clear" w:color="auto" w:fill="auto"/>
            <w:noWrap/>
            <w:vAlign w:val="bottom"/>
            <w:hideMark/>
          </w:tcPr>
          <w:p w14:paraId="6960A2CB"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3.90</w:t>
            </w:r>
          </w:p>
        </w:tc>
        <w:tc>
          <w:tcPr>
            <w:tcW w:w="1080" w:type="dxa"/>
            <w:tcBorders>
              <w:top w:val="nil"/>
              <w:left w:val="nil"/>
              <w:bottom w:val="nil"/>
              <w:right w:val="nil"/>
            </w:tcBorders>
            <w:shd w:val="clear" w:color="auto" w:fill="auto"/>
            <w:noWrap/>
            <w:vAlign w:val="bottom"/>
            <w:hideMark/>
          </w:tcPr>
          <w:p w14:paraId="3B5237B6"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27</w:t>
            </w:r>
          </w:p>
        </w:tc>
        <w:tc>
          <w:tcPr>
            <w:tcW w:w="900" w:type="dxa"/>
            <w:tcBorders>
              <w:top w:val="nil"/>
              <w:left w:val="nil"/>
              <w:bottom w:val="nil"/>
              <w:right w:val="nil"/>
            </w:tcBorders>
            <w:shd w:val="clear" w:color="auto" w:fill="auto"/>
            <w:noWrap/>
            <w:vAlign w:val="bottom"/>
            <w:hideMark/>
          </w:tcPr>
          <w:p w14:paraId="5C302585"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3</w:t>
            </w:r>
          </w:p>
        </w:tc>
        <w:tc>
          <w:tcPr>
            <w:tcW w:w="1080" w:type="dxa"/>
            <w:tcBorders>
              <w:top w:val="nil"/>
              <w:left w:val="nil"/>
              <w:bottom w:val="nil"/>
              <w:right w:val="nil"/>
            </w:tcBorders>
            <w:shd w:val="clear" w:color="auto" w:fill="auto"/>
            <w:noWrap/>
            <w:vAlign w:val="bottom"/>
            <w:hideMark/>
          </w:tcPr>
          <w:p w14:paraId="3E1C4871"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0</w:t>
            </w:r>
          </w:p>
        </w:tc>
        <w:tc>
          <w:tcPr>
            <w:tcW w:w="990" w:type="dxa"/>
            <w:tcBorders>
              <w:top w:val="nil"/>
              <w:left w:val="nil"/>
              <w:bottom w:val="nil"/>
              <w:right w:val="nil"/>
            </w:tcBorders>
            <w:shd w:val="clear" w:color="auto" w:fill="auto"/>
            <w:noWrap/>
            <w:vAlign w:val="bottom"/>
            <w:hideMark/>
          </w:tcPr>
          <w:p w14:paraId="5E13EAD2"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0</w:t>
            </w:r>
          </w:p>
        </w:tc>
      </w:tr>
      <w:tr w:rsidR="006F0271" w:rsidRPr="00587F00" w14:paraId="7267301A" w14:textId="77777777" w:rsidTr="00773B23">
        <w:trPr>
          <w:trHeight w:val="285"/>
        </w:trPr>
        <w:tc>
          <w:tcPr>
            <w:tcW w:w="1170" w:type="dxa"/>
            <w:vMerge/>
            <w:tcBorders>
              <w:left w:val="nil"/>
              <w:bottom w:val="nil"/>
              <w:right w:val="nil"/>
            </w:tcBorders>
          </w:tcPr>
          <w:p w14:paraId="362982BF" w14:textId="77777777" w:rsidR="006F0271" w:rsidRPr="00587F00" w:rsidRDefault="006F0271" w:rsidP="00773B23">
            <w:pPr>
              <w:rPr>
                <w:rFonts w:ascii="Calibri" w:eastAsia="Times New Roman" w:hAnsi="Calibri" w:cs="Calibri"/>
                <w:color w:val="000000"/>
                <w:sz w:val="22"/>
              </w:rPr>
            </w:pPr>
          </w:p>
        </w:tc>
        <w:tc>
          <w:tcPr>
            <w:tcW w:w="1379" w:type="dxa"/>
            <w:tcBorders>
              <w:top w:val="nil"/>
              <w:left w:val="nil"/>
              <w:bottom w:val="nil"/>
              <w:right w:val="nil"/>
            </w:tcBorders>
            <w:shd w:val="clear" w:color="auto" w:fill="auto"/>
            <w:noWrap/>
            <w:vAlign w:val="bottom"/>
            <w:hideMark/>
          </w:tcPr>
          <w:p w14:paraId="7189AFA0" w14:textId="77777777" w:rsidR="006F0271" w:rsidRPr="00587F00" w:rsidRDefault="006F0271" w:rsidP="00773B23">
            <w:pPr>
              <w:rPr>
                <w:rFonts w:ascii="Calibri" w:eastAsia="Times New Roman" w:hAnsi="Calibri" w:cs="Calibri"/>
                <w:b/>
                <w:color w:val="000000"/>
                <w:sz w:val="22"/>
              </w:rPr>
            </w:pPr>
            <w:r w:rsidRPr="00587F00">
              <w:rPr>
                <w:rFonts w:ascii="Calibri" w:eastAsia="Times New Roman" w:hAnsi="Calibri" w:cs="Calibri"/>
                <w:b/>
                <w:color w:val="000000"/>
                <w:sz w:val="22"/>
              </w:rPr>
              <w:t>Overall</w:t>
            </w:r>
          </w:p>
        </w:tc>
        <w:tc>
          <w:tcPr>
            <w:tcW w:w="871" w:type="dxa"/>
            <w:tcBorders>
              <w:top w:val="nil"/>
              <w:left w:val="nil"/>
              <w:bottom w:val="nil"/>
              <w:right w:val="nil"/>
            </w:tcBorders>
            <w:shd w:val="clear" w:color="auto" w:fill="auto"/>
            <w:noWrap/>
            <w:vAlign w:val="bottom"/>
            <w:hideMark/>
          </w:tcPr>
          <w:p w14:paraId="4A238FF3" w14:textId="77777777" w:rsidR="006F0271" w:rsidRPr="00587F00" w:rsidRDefault="006F0271" w:rsidP="00773B23">
            <w:pPr>
              <w:jc w:val="right"/>
              <w:rPr>
                <w:rFonts w:ascii="Calibri" w:eastAsia="Times New Roman" w:hAnsi="Calibri" w:cs="Calibri"/>
                <w:b/>
                <w:color w:val="000000"/>
                <w:sz w:val="22"/>
              </w:rPr>
            </w:pPr>
            <w:r w:rsidRPr="00587F00">
              <w:rPr>
                <w:rFonts w:ascii="Calibri" w:eastAsia="Times New Roman" w:hAnsi="Calibri" w:cs="Calibri"/>
                <w:b/>
                <w:color w:val="000000"/>
                <w:sz w:val="22"/>
              </w:rPr>
              <w:t>3.12</w:t>
            </w:r>
          </w:p>
        </w:tc>
        <w:tc>
          <w:tcPr>
            <w:tcW w:w="1080" w:type="dxa"/>
            <w:tcBorders>
              <w:top w:val="nil"/>
              <w:left w:val="nil"/>
              <w:bottom w:val="nil"/>
              <w:right w:val="nil"/>
            </w:tcBorders>
            <w:shd w:val="clear" w:color="auto" w:fill="auto"/>
            <w:noWrap/>
            <w:vAlign w:val="bottom"/>
            <w:hideMark/>
          </w:tcPr>
          <w:p w14:paraId="51563CCF" w14:textId="77777777" w:rsidR="006F0271" w:rsidRPr="00587F00" w:rsidRDefault="006F0271" w:rsidP="00773B23">
            <w:pPr>
              <w:jc w:val="right"/>
              <w:rPr>
                <w:rFonts w:ascii="Calibri" w:eastAsia="Times New Roman" w:hAnsi="Calibri" w:cs="Calibri"/>
                <w:b/>
                <w:color w:val="000000"/>
                <w:sz w:val="22"/>
              </w:rPr>
            </w:pPr>
            <w:r w:rsidRPr="00587F00">
              <w:rPr>
                <w:rFonts w:ascii="Calibri" w:eastAsia="Times New Roman" w:hAnsi="Calibri" w:cs="Calibri"/>
                <w:b/>
                <w:color w:val="000000"/>
                <w:sz w:val="22"/>
              </w:rPr>
              <w:t>54</w:t>
            </w:r>
          </w:p>
        </w:tc>
        <w:tc>
          <w:tcPr>
            <w:tcW w:w="900" w:type="dxa"/>
            <w:tcBorders>
              <w:top w:val="nil"/>
              <w:left w:val="nil"/>
              <w:bottom w:val="nil"/>
              <w:right w:val="nil"/>
            </w:tcBorders>
            <w:shd w:val="clear" w:color="auto" w:fill="auto"/>
            <w:noWrap/>
            <w:vAlign w:val="bottom"/>
            <w:hideMark/>
          </w:tcPr>
          <w:p w14:paraId="7467C1BD" w14:textId="77777777" w:rsidR="006F0271" w:rsidRPr="00587F00" w:rsidRDefault="006F0271" w:rsidP="00773B23">
            <w:pPr>
              <w:jc w:val="right"/>
              <w:rPr>
                <w:rFonts w:ascii="Calibri" w:eastAsia="Times New Roman" w:hAnsi="Calibri" w:cs="Calibri"/>
                <w:b/>
                <w:color w:val="000000"/>
                <w:sz w:val="22"/>
              </w:rPr>
            </w:pPr>
            <w:r w:rsidRPr="00587F00">
              <w:rPr>
                <w:rFonts w:ascii="Calibri" w:eastAsia="Times New Roman" w:hAnsi="Calibri" w:cs="Calibri"/>
                <w:b/>
                <w:color w:val="000000"/>
                <w:sz w:val="22"/>
              </w:rPr>
              <w:t>24</w:t>
            </w:r>
          </w:p>
        </w:tc>
        <w:tc>
          <w:tcPr>
            <w:tcW w:w="1080" w:type="dxa"/>
            <w:tcBorders>
              <w:top w:val="nil"/>
              <w:left w:val="nil"/>
              <w:bottom w:val="nil"/>
              <w:right w:val="nil"/>
            </w:tcBorders>
            <w:shd w:val="clear" w:color="auto" w:fill="auto"/>
            <w:noWrap/>
            <w:vAlign w:val="bottom"/>
            <w:hideMark/>
          </w:tcPr>
          <w:p w14:paraId="4B80691E" w14:textId="77777777" w:rsidR="006F0271" w:rsidRPr="00587F00" w:rsidRDefault="006F0271" w:rsidP="00773B23">
            <w:pPr>
              <w:jc w:val="right"/>
              <w:rPr>
                <w:rFonts w:ascii="Calibri" w:eastAsia="Times New Roman" w:hAnsi="Calibri" w:cs="Calibri"/>
                <w:b/>
                <w:color w:val="000000"/>
                <w:sz w:val="22"/>
              </w:rPr>
            </w:pPr>
            <w:r w:rsidRPr="00587F00">
              <w:rPr>
                <w:rFonts w:ascii="Calibri" w:eastAsia="Times New Roman" w:hAnsi="Calibri" w:cs="Calibri"/>
                <w:b/>
                <w:color w:val="000000"/>
                <w:sz w:val="22"/>
              </w:rPr>
              <w:t>23</w:t>
            </w:r>
          </w:p>
        </w:tc>
        <w:tc>
          <w:tcPr>
            <w:tcW w:w="990" w:type="dxa"/>
            <w:tcBorders>
              <w:top w:val="nil"/>
              <w:left w:val="nil"/>
              <w:bottom w:val="nil"/>
              <w:right w:val="nil"/>
            </w:tcBorders>
            <w:shd w:val="clear" w:color="auto" w:fill="auto"/>
            <w:noWrap/>
            <w:vAlign w:val="bottom"/>
            <w:hideMark/>
          </w:tcPr>
          <w:p w14:paraId="184D8EAD" w14:textId="77777777" w:rsidR="006F0271" w:rsidRPr="00587F00" w:rsidRDefault="006F0271" w:rsidP="00773B23">
            <w:pPr>
              <w:jc w:val="right"/>
              <w:rPr>
                <w:rFonts w:ascii="Calibri" w:eastAsia="Times New Roman" w:hAnsi="Calibri" w:cs="Calibri"/>
                <w:b/>
                <w:color w:val="000000"/>
                <w:sz w:val="22"/>
              </w:rPr>
            </w:pPr>
            <w:r w:rsidRPr="00587F00">
              <w:rPr>
                <w:rFonts w:ascii="Calibri" w:eastAsia="Times New Roman" w:hAnsi="Calibri" w:cs="Calibri"/>
                <w:b/>
                <w:color w:val="000000"/>
                <w:sz w:val="22"/>
              </w:rPr>
              <w:t>9</w:t>
            </w:r>
          </w:p>
        </w:tc>
      </w:tr>
      <w:tr w:rsidR="006F0271" w:rsidRPr="00587F00" w14:paraId="44017877" w14:textId="77777777" w:rsidTr="00773B23">
        <w:trPr>
          <w:trHeight w:val="285"/>
        </w:trPr>
        <w:tc>
          <w:tcPr>
            <w:tcW w:w="1170" w:type="dxa"/>
            <w:tcBorders>
              <w:top w:val="nil"/>
              <w:left w:val="nil"/>
              <w:bottom w:val="nil"/>
              <w:right w:val="nil"/>
            </w:tcBorders>
          </w:tcPr>
          <w:p w14:paraId="7BAD4A8E" w14:textId="77777777" w:rsidR="006F0271" w:rsidRPr="00587F00" w:rsidRDefault="006F0271" w:rsidP="00773B23">
            <w:pPr>
              <w:jc w:val="right"/>
              <w:rPr>
                <w:rFonts w:ascii="Calibri" w:eastAsia="Times New Roman" w:hAnsi="Calibri" w:cs="Calibri"/>
                <w:color w:val="000000"/>
                <w:sz w:val="22"/>
              </w:rPr>
            </w:pPr>
          </w:p>
        </w:tc>
        <w:tc>
          <w:tcPr>
            <w:tcW w:w="1379" w:type="dxa"/>
            <w:tcBorders>
              <w:top w:val="nil"/>
              <w:left w:val="nil"/>
              <w:bottom w:val="nil"/>
              <w:right w:val="nil"/>
            </w:tcBorders>
            <w:shd w:val="clear" w:color="auto" w:fill="auto"/>
            <w:noWrap/>
            <w:vAlign w:val="bottom"/>
            <w:hideMark/>
          </w:tcPr>
          <w:p w14:paraId="42122631" w14:textId="77777777" w:rsidR="006F0271" w:rsidRPr="00587F00" w:rsidRDefault="006F0271" w:rsidP="00773B23">
            <w:pPr>
              <w:jc w:val="right"/>
              <w:rPr>
                <w:rFonts w:ascii="Calibri" w:eastAsia="Times New Roman" w:hAnsi="Calibri" w:cs="Calibri"/>
                <w:color w:val="000000"/>
                <w:sz w:val="22"/>
              </w:rPr>
            </w:pPr>
          </w:p>
        </w:tc>
        <w:tc>
          <w:tcPr>
            <w:tcW w:w="871" w:type="dxa"/>
            <w:tcBorders>
              <w:top w:val="nil"/>
              <w:left w:val="nil"/>
              <w:bottom w:val="nil"/>
              <w:right w:val="nil"/>
            </w:tcBorders>
            <w:shd w:val="clear" w:color="auto" w:fill="auto"/>
            <w:noWrap/>
            <w:vAlign w:val="bottom"/>
            <w:hideMark/>
          </w:tcPr>
          <w:p w14:paraId="4D500256" w14:textId="77777777" w:rsidR="006F0271" w:rsidRPr="00587F00" w:rsidRDefault="006F0271" w:rsidP="00773B23">
            <w:pPr>
              <w:rPr>
                <w:rFonts w:eastAsia="Times New Roman" w:cs="Times New Roman"/>
                <w:sz w:val="20"/>
                <w:szCs w:val="20"/>
              </w:rPr>
            </w:pPr>
          </w:p>
        </w:tc>
        <w:tc>
          <w:tcPr>
            <w:tcW w:w="1080" w:type="dxa"/>
            <w:tcBorders>
              <w:top w:val="nil"/>
              <w:left w:val="nil"/>
              <w:bottom w:val="nil"/>
              <w:right w:val="nil"/>
            </w:tcBorders>
            <w:shd w:val="clear" w:color="auto" w:fill="auto"/>
            <w:noWrap/>
            <w:vAlign w:val="bottom"/>
            <w:hideMark/>
          </w:tcPr>
          <w:p w14:paraId="11768399"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49.09%</w:t>
            </w:r>
          </w:p>
        </w:tc>
        <w:tc>
          <w:tcPr>
            <w:tcW w:w="900" w:type="dxa"/>
            <w:tcBorders>
              <w:top w:val="nil"/>
              <w:left w:val="nil"/>
              <w:bottom w:val="nil"/>
              <w:right w:val="nil"/>
            </w:tcBorders>
            <w:shd w:val="clear" w:color="auto" w:fill="auto"/>
            <w:noWrap/>
            <w:vAlign w:val="bottom"/>
            <w:hideMark/>
          </w:tcPr>
          <w:p w14:paraId="0AA33CB5"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21.82%</w:t>
            </w:r>
          </w:p>
        </w:tc>
        <w:tc>
          <w:tcPr>
            <w:tcW w:w="1080" w:type="dxa"/>
            <w:tcBorders>
              <w:top w:val="nil"/>
              <w:left w:val="nil"/>
              <w:bottom w:val="nil"/>
              <w:right w:val="nil"/>
            </w:tcBorders>
            <w:shd w:val="clear" w:color="auto" w:fill="auto"/>
            <w:noWrap/>
            <w:vAlign w:val="bottom"/>
            <w:hideMark/>
          </w:tcPr>
          <w:p w14:paraId="335CA11B"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20.91%</w:t>
            </w:r>
          </w:p>
        </w:tc>
        <w:tc>
          <w:tcPr>
            <w:tcW w:w="990" w:type="dxa"/>
            <w:tcBorders>
              <w:top w:val="nil"/>
              <w:left w:val="nil"/>
              <w:bottom w:val="nil"/>
              <w:right w:val="nil"/>
            </w:tcBorders>
            <w:shd w:val="clear" w:color="auto" w:fill="auto"/>
            <w:noWrap/>
            <w:vAlign w:val="bottom"/>
            <w:hideMark/>
          </w:tcPr>
          <w:p w14:paraId="039D48E0"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8.18%</w:t>
            </w:r>
          </w:p>
        </w:tc>
      </w:tr>
    </w:tbl>
    <w:p w14:paraId="077744D3" w14:textId="77777777" w:rsidR="006F0271" w:rsidRDefault="006F0271" w:rsidP="006F0271"/>
    <w:tbl>
      <w:tblPr>
        <w:tblW w:w="7470" w:type="dxa"/>
        <w:tblLook w:val="04A0" w:firstRow="1" w:lastRow="0" w:firstColumn="1" w:lastColumn="0" w:noHBand="0" w:noVBand="1"/>
      </w:tblPr>
      <w:tblGrid>
        <w:gridCol w:w="1260"/>
        <w:gridCol w:w="1422"/>
        <w:gridCol w:w="738"/>
        <w:gridCol w:w="990"/>
        <w:gridCol w:w="990"/>
        <w:gridCol w:w="1080"/>
        <w:gridCol w:w="990"/>
      </w:tblGrid>
      <w:tr w:rsidR="006F0271" w:rsidRPr="00587F00" w14:paraId="4C64B8CF" w14:textId="77777777" w:rsidTr="00773B23">
        <w:trPr>
          <w:trHeight w:val="285"/>
        </w:trPr>
        <w:tc>
          <w:tcPr>
            <w:tcW w:w="1260" w:type="dxa"/>
            <w:vMerge w:val="restart"/>
            <w:tcBorders>
              <w:top w:val="nil"/>
              <w:left w:val="nil"/>
              <w:right w:val="nil"/>
            </w:tcBorders>
            <w:textDirection w:val="btLr"/>
          </w:tcPr>
          <w:p w14:paraId="05981318" w14:textId="77777777" w:rsidR="006F0271" w:rsidRPr="00587F00" w:rsidRDefault="006F0271" w:rsidP="00773B23">
            <w:pPr>
              <w:ind w:left="113" w:right="113"/>
              <w:rPr>
                <w:rFonts w:ascii="Calibri" w:eastAsia="Times New Roman" w:hAnsi="Calibri" w:cs="Calibri"/>
                <w:b/>
                <w:bCs/>
                <w:i/>
                <w:color w:val="000000"/>
                <w:sz w:val="22"/>
              </w:rPr>
            </w:pPr>
            <w:r w:rsidRPr="00587F00">
              <w:rPr>
                <w:i/>
              </w:rPr>
              <w:t>Representation</w:t>
            </w:r>
          </w:p>
        </w:tc>
        <w:tc>
          <w:tcPr>
            <w:tcW w:w="1422" w:type="dxa"/>
            <w:tcBorders>
              <w:top w:val="nil"/>
              <w:left w:val="nil"/>
              <w:bottom w:val="nil"/>
              <w:right w:val="nil"/>
            </w:tcBorders>
            <w:shd w:val="clear" w:color="auto" w:fill="auto"/>
            <w:noWrap/>
            <w:vAlign w:val="bottom"/>
            <w:hideMark/>
          </w:tcPr>
          <w:p w14:paraId="36213B4A" w14:textId="77777777" w:rsidR="006F0271" w:rsidRPr="00587F00" w:rsidRDefault="006F0271" w:rsidP="00773B23">
            <w:pPr>
              <w:rPr>
                <w:rFonts w:ascii="Calibri" w:eastAsia="Times New Roman" w:hAnsi="Calibri" w:cs="Calibri"/>
                <w:b/>
                <w:bCs/>
                <w:color w:val="000000"/>
                <w:sz w:val="22"/>
              </w:rPr>
            </w:pPr>
            <w:r w:rsidRPr="00587F00">
              <w:rPr>
                <w:rFonts w:ascii="Calibri" w:eastAsia="Times New Roman" w:hAnsi="Calibri" w:cs="Calibri"/>
                <w:b/>
                <w:bCs/>
                <w:color w:val="000000"/>
                <w:sz w:val="22"/>
              </w:rPr>
              <w:t>Artifact</w:t>
            </w:r>
          </w:p>
        </w:tc>
        <w:tc>
          <w:tcPr>
            <w:tcW w:w="738" w:type="dxa"/>
            <w:tcBorders>
              <w:top w:val="nil"/>
              <w:left w:val="nil"/>
              <w:bottom w:val="nil"/>
              <w:right w:val="nil"/>
            </w:tcBorders>
            <w:shd w:val="clear" w:color="auto" w:fill="auto"/>
            <w:noWrap/>
            <w:vAlign w:val="bottom"/>
            <w:hideMark/>
          </w:tcPr>
          <w:p w14:paraId="33EC48DF" w14:textId="77777777" w:rsidR="006F0271" w:rsidRPr="00587F00" w:rsidRDefault="006F0271" w:rsidP="00773B23">
            <w:pPr>
              <w:rPr>
                <w:rFonts w:ascii="Calibri" w:eastAsia="Times New Roman" w:hAnsi="Calibri" w:cs="Calibri"/>
                <w:b/>
                <w:bCs/>
                <w:color w:val="000000"/>
                <w:sz w:val="22"/>
              </w:rPr>
            </w:pPr>
            <w:r w:rsidRPr="00587F00">
              <w:rPr>
                <w:rFonts w:ascii="Calibri" w:eastAsia="Times New Roman" w:hAnsi="Calibri" w:cs="Calibri"/>
                <w:b/>
                <w:bCs/>
                <w:color w:val="000000"/>
                <w:sz w:val="22"/>
              </w:rPr>
              <w:t>Avg. Score</w:t>
            </w:r>
          </w:p>
        </w:tc>
        <w:tc>
          <w:tcPr>
            <w:tcW w:w="990" w:type="dxa"/>
            <w:tcBorders>
              <w:top w:val="nil"/>
              <w:left w:val="nil"/>
              <w:bottom w:val="nil"/>
              <w:right w:val="nil"/>
            </w:tcBorders>
            <w:shd w:val="clear" w:color="auto" w:fill="auto"/>
            <w:noWrap/>
            <w:vAlign w:val="bottom"/>
            <w:hideMark/>
          </w:tcPr>
          <w:p w14:paraId="0AB45554" w14:textId="77777777" w:rsidR="006F0271" w:rsidRPr="00587F00" w:rsidRDefault="006F0271" w:rsidP="00773B23">
            <w:pPr>
              <w:jc w:val="right"/>
              <w:rPr>
                <w:rFonts w:ascii="Calibri" w:eastAsia="Times New Roman" w:hAnsi="Calibri" w:cs="Calibri"/>
                <w:b/>
                <w:bCs/>
                <w:color w:val="000000"/>
                <w:sz w:val="22"/>
              </w:rPr>
            </w:pPr>
            <w:r w:rsidRPr="00587F00">
              <w:rPr>
                <w:rFonts w:ascii="Calibri" w:eastAsia="Times New Roman" w:hAnsi="Calibri" w:cs="Calibri"/>
                <w:b/>
                <w:bCs/>
                <w:color w:val="000000"/>
                <w:sz w:val="22"/>
              </w:rPr>
              <w:t>4</w:t>
            </w:r>
          </w:p>
        </w:tc>
        <w:tc>
          <w:tcPr>
            <w:tcW w:w="990" w:type="dxa"/>
            <w:tcBorders>
              <w:top w:val="nil"/>
              <w:left w:val="nil"/>
              <w:bottom w:val="nil"/>
              <w:right w:val="nil"/>
            </w:tcBorders>
            <w:shd w:val="clear" w:color="auto" w:fill="auto"/>
            <w:noWrap/>
            <w:vAlign w:val="bottom"/>
            <w:hideMark/>
          </w:tcPr>
          <w:p w14:paraId="433A217A" w14:textId="77777777" w:rsidR="006F0271" w:rsidRPr="00587F00" w:rsidRDefault="006F0271" w:rsidP="00773B23">
            <w:pPr>
              <w:jc w:val="right"/>
              <w:rPr>
                <w:rFonts w:ascii="Calibri" w:eastAsia="Times New Roman" w:hAnsi="Calibri" w:cs="Calibri"/>
                <w:b/>
                <w:bCs/>
                <w:color w:val="000000"/>
                <w:sz w:val="22"/>
              </w:rPr>
            </w:pPr>
            <w:r w:rsidRPr="00587F00">
              <w:rPr>
                <w:rFonts w:ascii="Calibri" w:eastAsia="Times New Roman" w:hAnsi="Calibri" w:cs="Calibri"/>
                <w:b/>
                <w:bCs/>
                <w:color w:val="000000"/>
                <w:sz w:val="22"/>
              </w:rPr>
              <w:t>3</w:t>
            </w:r>
          </w:p>
        </w:tc>
        <w:tc>
          <w:tcPr>
            <w:tcW w:w="1080" w:type="dxa"/>
            <w:tcBorders>
              <w:top w:val="nil"/>
              <w:left w:val="nil"/>
              <w:bottom w:val="nil"/>
              <w:right w:val="nil"/>
            </w:tcBorders>
            <w:shd w:val="clear" w:color="auto" w:fill="auto"/>
            <w:noWrap/>
            <w:vAlign w:val="bottom"/>
            <w:hideMark/>
          </w:tcPr>
          <w:p w14:paraId="2823145F" w14:textId="77777777" w:rsidR="006F0271" w:rsidRPr="00587F00" w:rsidRDefault="006F0271" w:rsidP="00773B23">
            <w:pPr>
              <w:jc w:val="right"/>
              <w:rPr>
                <w:rFonts w:ascii="Calibri" w:eastAsia="Times New Roman" w:hAnsi="Calibri" w:cs="Calibri"/>
                <w:b/>
                <w:bCs/>
                <w:color w:val="000000"/>
                <w:sz w:val="22"/>
              </w:rPr>
            </w:pPr>
            <w:r w:rsidRPr="00587F00">
              <w:rPr>
                <w:rFonts w:ascii="Calibri" w:eastAsia="Times New Roman" w:hAnsi="Calibri" w:cs="Calibri"/>
                <w:b/>
                <w:bCs/>
                <w:color w:val="000000"/>
                <w:sz w:val="22"/>
              </w:rPr>
              <w:t>2</w:t>
            </w:r>
          </w:p>
        </w:tc>
        <w:tc>
          <w:tcPr>
            <w:tcW w:w="990" w:type="dxa"/>
            <w:tcBorders>
              <w:top w:val="nil"/>
              <w:left w:val="nil"/>
              <w:bottom w:val="nil"/>
              <w:right w:val="nil"/>
            </w:tcBorders>
            <w:shd w:val="clear" w:color="auto" w:fill="auto"/>
            <w:noWrap/>
            <w:vAlign w:val="bottom"/>
            <w:hideMark/>
          </w:tcPr>
          <w:p w14:paraId="64D14C30" w14:textId="77777777" w:rsidR="006F0271" w:rsidRPr="00587F00" w:rsidRDefault="006F0271" w:rsidP="00773B23">
            <w:pPr>
              <w:jc w:val="right"/>
              <w:rPr>
                <w:rFonts w:ascii="Calibri" w:eastAsia="Times New Roman" w:hAnsi="Calibri" w:cs="Calibri"/>
                <w:b/>
                <w:bCs/>
                <w:color w:val="000000"/>
                <w:sz w:val="22"/>
              </w:rPr>
            </w:pPr>
            <w:r w:rsidRPr="00587F00">
              <w:rPr>
                <w:rFonts w:ascii="Calibri" w:eastAsia="Times New Roman" w:hAnsi="Calibri" w:cs="Calibri"/>
                <w:b/>
                <w:bCs/>
                <w:color w:val="000000"/>
                <w:sz w:val="22"/>
              </w:rPr>
              <w:t>1</w:t>
            </w:r>
          </w:p>
        </w:tc>
      </w:tr>
      <w:tr w:rsidR="006F0271" w:rsidRPr="00587F00" w14:paraId="6C14ECC4" w14:textId="77777777" w:rsidTr="00773B23">
        <w:trPr>
          <w:trHeight w:val="285"/>
        </w:trPr>
        <w:tc>
          <w:tcPr>
            <w:tcW w:w="1260" w:type="dxa"/>
            <w:vMerge/>
            <w:tcBorders>
              <w:left w:val="nil"/>
              <w:right w:val="nil"/>
            </w:tcBorders>
          </w:tcPr>
          <w:p w14:paraId="4F12C234" w14:textId="77777777" w:rsidR="006F0271" w:rsidRPr="00587F00" w:rsidRDefault="006F0271" w:rsidP="00773B23">
            <w:pPr>
              <w:rPr>
                <w:rFonts w:ascii="Calibri" w:eastAsia="Times New Roman" w:hAnsi="Calibri" w:cs="Calibri"/>
                <w:color w:val="000000"/>
                <w:sz w:val="22"/>
              </w:rPr>
            </w:pPr>
          </w:p>
        </w:tc>
        <w:tc>
          <w:tcPr>
            <w:tcW w:w="1422" w:type="dxa"/>
            <w:tcBorders>
              <w:top w:val="nil"/>
              <w:left w:val="nil"/>
              <w:bottom w:val="nil"/>
              <w:right w:val="nil"/>
            </w:tcBorders>
            <w:shd w:val="clear" w:color="auto" w:fill="auto"/>
            <w:noWrap/>
            <w:vAlign w:val="bottom"/>
            <w:hideMark/>
          </w:tcPr>
          <w:p w14:paraId="1DB1190A" w14:textId="77777777" w:rsidR="006F0271" w:rsidRPr="00587F00" w:rsidRDefault="006F0271" w:rsidP="00773B23">
            <w:pPr>
              <w:rPr>
                <w:rFonts w:ascii="Calibri" w:eastAsia="Times New Roman" w:hAnsi="Calibri" w:cs="Calibri"/>
                <w:color w:val="000000"/>
                <w:sz w:val="22"/>
              </w:rPr>
            </w:pPr>
            <w:r>
              <w:rPr>
                <w:rFonts w:ascii="Calibri" w:eastAsia="Times New Roman" w:hAnsi="Calibri" w:cs="Calibri"/>
                <w:color w:val="000000"/>
                <w:sz w:val="22"/>
              </w:rPr>
              <w:t>CSC 110</w:t>
            </w:r>
          </w:p>
        </w:tc>
        <w:tc>
          <w:tcPr>
            <w:tcW w:w="738" w:type="dxa"/>
            <w:tcBorders>
              <w:top w:val="nil"/>
              <w:left w:val="nil"/>
              <w:bottom w:val="nil"/>
              <w:right w:val="nil"/>
            </w:tcBorders>
            <w:shd w:val="clear" w:color="auto" w:fill="auto"/>
            <w:noWrap/>
            <w:vAlign w:val="bottom"/>
            <w:hideMark/>
          </w:tcPr>
          <w:p w14:paraId="2E1A4770"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3.30</w:t>
            </w:r>
          </w:p>
        </w:tc>
        <w:tc>
          <w:tcPr>
            <w:tcW w:w="990" w:type="dxa"/>
            <w:tcBorders>
              <w:top w:val="nil"/>
              <w:left w:val="nil"/>
              <w:bottom w:val="nil"/>
              <w:right w:val="nil"/>
            </w:tcBorders>
            <w:shd w:val="clear" w:color="auto" w:fill="auto"/>
            <w:noWrap/>
            <w:vAlign w:val="bottom"/>
            <w:hideMark/>
          </w:tcPr>
          <w:p w14:paraId="41334D02"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10</w:t>
            </w:r>
          </w:p>
        </w:tc>
        <w:tc>
          <w:tcPr>
            <w:tcW w:w="990" w:type="dxa"/>
            <w:tcBorders>
              <w:top w:val="nil"/>
              <w:left w:val="nil"/>
              <w:bottom w:val="nil"/>
              <w:right w:val="nil"/>
            </w:tcBorders>
            <w:shd w:val="clear" w:color="auto" w:fill="auto"/>
            <w:noWrap/>
            <w:vAlign w:val="bottom"/>
            <w:hideMark/>
          </w:tcPr>
          <w:p w14:paraId="681E1DD7"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6</w:t>
            </w:r>
          </w:p>
        </w:tc>
        <w:tc>
          <w:tcPr>
            <w:tcW w:w="1080" w:type="dxa"/>
            <w:tcBorders>
              <w:top w:val="nil"/>
              <w:left w:val="nil"/>
              <w:bottom w:val="nil"/>
              <w:right w:val="nil"/>
            </w:tcBorders>
            <w:shd w:val="clear" w:color="auto" w:fill="auto"/>
            <w:noWrap/>
            <w:vAlign w:val="bottom"/>
            <w:hideMark/>
          </w:tcPr>
          <w:p w14:paraId="666BB252"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4</w:t>
            </w:r>
          </w:p>
        </w:tc>
        <w:tc>
          <w:tcPr>
            <w:tcW w:w="990" w:type="dxa"/>
            <w:tcBorders>
              <w:top w:val="nil"/>
              <w:left w:val="nil"/>
              <w:bottom w:val="nil"/>
              <w:right w:val="nil"/>
            </w:tcBorders>
            <w:shd w:val="clear" w:color="auto" w:fill="auto"/>
            <w:noWrap/>
            <w:vAlign w:val="bottom"/>
            <w:hideMark/>
          </w:tcPr>
          <w:p w14:paraId="4CA4DF3C"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0</w:t>
            </w:r>
          </w:p>
        </w:tc>
      </w:tr>
      <w:tr w:rsidR="006F0271" w:rsidRPr="00587F00" w14:paraId="7DCAB4CE" w14:textId="77777777" w:rsidTr="00773B23">
        <w:trPr>
          <w:trHeight w:val="285"/>
        </w:trPr>
        <w:tc>
          <w:tcPr>
            <w:tcW w:w="1260" w:type="dxa"/>
            <w:vMerge/>
            <w:tcBorders>
              <w:left w:val="nil"/>
              <w:right w:val="nil"/>
            </w:tcBorders>
          </w:tcPr>
          <w:p w14:paraId="79CC1196" w14:textId="77777777" w:rsidR="006F0271" w:rsidRPr="00587F00" w:rsidRDefault="006F0271" w:rsidP="00773B23">
            <w:pPr>
              <w:rPr>
                <w:rFonts w:ascii="Calibri" w:eastAsia="Times New Roman" w:hAnsi="Calibri" w:cs="Calibri"/>
                <w:color w:val="000000"/>
                <w:sz w:val="22"/>
              </w:rPr>
            </w:pPr>
          </w:p>
        </w:tc>
        <w:tc>
          <w:tcPr>
            <w:tcW w:w="1422" w:type="dxa"/>
            <w:tcBorders>
              <w:top w:val="nil"/>
              <w:left w:val="nil"/>
              <w:bottom w:val="nil"/>
              <w:right w:val="nil"/>
            </w:tcBorders>
            <w:shd w:val="clear" w:color="auto" w:fill="auto"/>
            <w:noWrap/>
            <w:vAlign w:val="bottom"/>
            <w:hideMark/>
          </w:tcPr>
          <w:p w14:paraId="24CBA766" w14:textId="77777777" w:rsidR="006F0271" w:rsidRPr="00587F00" w:rsidRDefault="006F0271" w:rsidP="00773B23">
            <w:pPr>
              <w:rPr>
                <w:rFonts w:ascii="Calibri" w:eastAsia="Times New Roman" w:hAnsi="Calibri" w:cs="Calibri"/>
                <w:color w:val="000000"/>
                <w:sz w:val="22"/>
              </w:rPr>
            </w:pPr>
            <w:proofErr w:type="spellStart"/>
            <w:r>
              <w:rPr>
                <w:rFonts w:ascii="Calibri" w:eastAsia="Times New Roman" w:hAnsi="Calibri" w:cs="Calibri"/>
                <w:color w:val="000000"/>
                <w:sz w:val="22"/>
              </w:rPr>
              <w:t>PHY</w:t>
            </w:r>
            <w:proofErr w:type="spellEnd"/>
            <w:r>
              <w:rPr>
                <w:rFonts w:ascii="Calibri" w:eastAsia="Times New Roman" w:hAnsi="Calibri" w:cs="Calibri"/>
                <w:color w:val="000000"/>
                <w:sz w:val="22"/>
              </w:rPr>
              <w:t xml:space="preserve"> 140</w:t>
            </w:r>
          </w:p>
        </w:tc>
        <w:tc>
          <w:tcPr>
            <w:tcW w:w="738" w:type="dxa"/>
            <w:tcBorders>
              <w:top w:val="nil"/>
              <w:left w:val="nil"/>
              <w:bottom w:val="nil"/>
              <w:right w:val="nil"/>
            </w:tcBorders>
            <w:shd w:val="clear" w:color="auto" w:fill="auto"/>
            <w:noWrap/>
            <w:vAlign w:val="bottom"/>
            <w:hideMark/>
          </w:tcPr>
          <w:p w14:paraId="33E1A9EE"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2.47</w:t>
            </w:r>
          </w:p>
        </w:tc>
        <w:tc>
          <w:tcPr>
            <w:tcW w:w="990" w:type="dxa"/>
            <w:tcBorders>
              <w:top w:val="nil"/>
              <w:left w:val="nil"/>
              <w:bottom w:val="nil"/>
              <w:right w:val="nil"/>
            </w:tcBorders>
            <w:shd w:val="clear" w:color="auto" w:fill="auto"/>
            <w:noWrap/>
            <w:vAlign w:val="bottom"/>
            <w:hideMark/>
          </w:tcPr>
          <w:p w14:paraId="7340D9F0"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4</w:t>
            </w:r>
          </w:p>
        </w:tc>
        <w:tc>
          <w:tcPr>
            <w:tcW w:w="990" w:type="dxa"/>
            <w:tcBorders>
              <w:top w:val="nil"/>
              <w:left w:val="nil"/>
              <w:bottom w:val="nil"/>
              <w:right w:val="nil"/>
            </w:tcBorders>
            <w:shd w:val="clear" w:color="auto" w:fill="auto"/>
            <w:noWrap/>
            <w:vAlign w:val="bottom"/>
            <w:hideMark/>
          </w:tcPr>
          <w:p w14:paraId="19F5BB29"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9</w:t>
            </w:r>
          </w:p>
        </w:tc>
        <w:tc>
          <w:tcPr>
            <w:tcW w:w="1080" w:type="dxa"/>
            <w:tcBorders>
              <w:top w:val="nil"/>
              <w:left w:val="nil"/>
              <w:bottom w:val="nil"/>
              <w:right w:val="nil"/>
            </w:tcBorders>
            <w:shd w:val="clear" w:color="auto" w:fill="auto"/>
            <w:noWrap/>
            <w:vAlign w:val="bottom"/>
            <w:hideMark/>
          </w:tcPr>
          <w:p w14:paraId="0319C7D3"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14</w:t>
            </w:r>
          </w:p>
        </w:tc>
        <w:tc>
          <w:tcPr>
            <w:tcW w:w="990" w:type="dxa"/>
            <w:tcBorders>
              <w:top w:val="nil"/>
              <w:left w:val="nil"/>
              <w:bottom w:val="nil"/>
              <w:right w:val="nil"/>
            </w:tcBorders>
            <w:shd w:val="clear" w:color="auto" w:fill="auto"/>
            <w:noWrap/>
            <w:vAlign w:val="bottom"/>
            <w:hideMark/>
          </w:tcPr>
          <w:p w14:paraId="0F139869"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3</w:t>
            </w:r>
          </w:p>
        </w:tc>
      </w:tr>
      <w:tr w:rsidR="006F0271" w:rsidRPr="00587F00" w14:paraId="2A7F472B" w14:textId="77777777" w:rsidTr="00773B23">
        <w:trPr>
          <w:trHeight w:val="285"/>
        </w:trPr>
        <w:tc>
          <w:tcPr>
            <w:tcW w:w="1260" w:type="dxa"/>
            <w:vMerge/>
            <w:tcBorders>
              <w:left w:val="nil"/>
              <w:right w:val="nil"/>
            </w:tcBorders>
          </w:tcPr>
          <w:p w14:paraId="648750AC" w14:textId="77777777" w:rsidR="006F0271" w:rsidRPr="00587F00" w:rsidRDefault="006F0271" w:rsidP="00773B23">
            <w:pPr>
              <w:rPr>
                <w:rFonts w:ascii="Calibri" w:eastAsia="Times New Roman" w:hAnsi="Calibri" w:cs="Calibri"/>
                <w:color w:val="000000"/>
                <w:sz w:val="22"/>
              </w:rPr>
            </w:pPr>
            <w:commentRangeStart w:id="1"/>
          </w:p>
        </w:tc>
        <w:tc>
          <w:tcPr>
            <w:tcW w:w="1422" w:type="dxa"/>
            <w:tcBorders>
              <w:top w:val="nil"/>
              <w:left w:val="nil"/>
              <w:bottom w:val="nil"/>
              <w:right w:val="nil"/>
            </w:tcBorders>
            <w:shd w:val="clear" w:color="auto" w:fill="auto"/>
            <w:noWrap/>
            <w:vAlign w:val="bottom"/>
            <w:hideMark/>
          </w:tcPr>
          <w:p w14:paraId="362ED0D8" w14:textId="77777777" w:rsidR="006F0271" w:rsidRPr="00587F00" w:rsidRDefault="006F0271" w:rsidP="00773B23">
            <w:pPr>
              <w:rPr>
                <w:rFonts w:ascii="Calibri" w:eastAsia="Times New Roman" w:hAnsi="Calibri" w:cs="Calibri"/>
                <w:color w:val="000000"/>
                <w:sz w:val="22"/>
              </w:rPr>
            </w:pPr>
            <w:r>
              <w:rPr>
                <w:rFonts w:ascii="Calibri" w:eastAsia="Times New Roman" w:hAnsi="Calibri" w:cs="Calibri"/>
                <w:color w:val="000000"/>
                <w:sz w:val="22"/>
              </w:rPr>
              <w:t>ECO 112</w:t>
            </w:r>
          </w:p>
        </w:tc>
        <w:tc>
          <w:tcPr>
            <w:tcW w:w="738" w:type="dxa"/>
            <w:tcBorders>
              <w:top w:val="nil"/>
              <w:left w:val="nil"/>
              <w:bottom w:val="nil"/>
              <w:right w:val="nil"/>
            </w:tcBorders>
            <w:shd w:val="clear" w:color="auto" w:fill="auto"/>
            <w:noWrap/>
            <w:vAlign w:val="bottom"/>
            <w:hideMark/>
          </w:tcPr>
          <w:p w14:paraId="3D0EB9B2"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2.67</w:t>
            </w:r>
          </w:p>
        </w:tc>
        <w:tc>
          <w:tcPr>
            <w:tcW w:w="990" w:type="dxa"/>
            <w:tcBorders>
              <w:top w:val="nil"/>
              <w:left w:val="nil"/>
              <w:bottom w:val="nil"/>
              <w:right w:val="nil"/>
            </w:tcBorders>
            <w:shd w:val="clear" w:color="auto" w:fill="auto"/>
            <w:noWrap/>
            <w:vAlign w:val="bottom"/>
            <w:hideMark/>
          </w:tcPr>
          <w:p w14:paraId="78F6C996"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9</w:t>
            </w:r>
          </w:p>
        </w:tc>
        <w:tc>
          <w:tcPr>
            <w:tcW w:w="990" w:type="dxa"/>
            <w:tcBorders>
              <w:top w:val="nil"/>
              <w:left w:val="nil"/>
              <w:bottom w:val="nil"/>
              <w:right w:val="nil"/>
            </w:tcBorders>
            <w:shd w:val="clear" w:color="auto" w:fill="auto"/>
            <w:noWrap/>
            <w:vAlign w:val="bottom"/>
            <w:hideMark/>
          </w:tcPr>
          <w:p w14:paraId="2EA07D39"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3</w:t>
            </w:r>
          </w:p>
        </w:tc>
        <w:tc>
          <w:tcPr>
            <w:tcW w:w="1080" w:type="dxa"/>
            <w:tcBorders>
              <w:top w:val="nil"/>
              <w:left w:val="nil"/>
              <w:bottom w:val="nil"/>
              <w:right w:val="nil"/>
            </w:tcBorders>
            <w:shd w:val="clear" w:color="auto" w:fill="auto"/>
            <w:noWrap/>
            <w:vAlign w:val="bottom"/>
            <w:hideMark/>
          </w:tcPr>
          <w:p w14:paraId="5DF0C5C1"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17</w:t>
            </w:r>
          </w:p>
        </w:tc>
        <w:tc>
          <w:tcPr>
            <w:tcW w:w="990" w:type="dxa"/>
            <w:tcBorders>
              <w:top w:val="nil"/>
              <w:left w:val="nil"/>
              <w:bottom w:val="nil"/>
              <w:right w:val="nil"/>
            </w:tcBorders>
            <w:shd w:val="clear" w:color="auto" w:fill="auto"/>
            <w:noWrap/>
            <w:vAlign w:val="bottom"/>
            <w:hideMark/>
          </w:tcPr>
          <w:p w14:paraId="78DF52FA"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1</w:t>
            </w:r>
          </w:p>
        </w:tc>
      </w:tr>
      <w:tr w:rsidR="006F0271" w:rsidRPr="00587F00" w14:paraId="7B6FA205" w14:textId="77777777" w:rsidTr="00773B23">
        <w:trPr>
          <w:trHeight w:val="285"/>
        </w:trPr>
        <w:tc>
          <w:tcPr>
            <w:tcW w:w="1260" w:type="dxa"/>
            <w:vMerge/>
            <w:tcBorders>
              <w:left w:val="nil"/>
              <w:right w:val="nil"/>
            </w:tcBorders>
          </w:tcPr>
          <w:p w14:paraId="6FDA0A52" w14:textId="77777777" w:rsidR="006F0271" w:rsidRPr="00587F00" w:rsidRDefault="006F0271" w:rsidP="00773B23">
            <w:pPr>
              <w:rPr>
                <w:rFonts w:ascii="Calibri" w:eastAsia="Times New Roman" w:hAnsi="Calibri" w:cs="Calibri"/>
                <w:color w:val="000000"/>
                <w:sz w:val="22"/>
              </w:rPr>
            </w:pPr>
          </w:p>
        </w:tc>
        <w:tc>
          <w:tcPr>
            <w:tcW w:w="1422" w:type="dxa"/>
            <w:tcBorders>
              <w:top w:val="nil"/>
              <w:left w:val="nil"/>
              <w:bottom w:val="nil"/>
              <w:right w:val="nil"/>
            </w:tcBorders>
            <w:shd w:val="clear" w:color="auto" w:fill="auto"/>
            <w:noWrap/>
            <w:vAlign w:val="bottom"/>
            <w:hideMark/>
          </w:tcPr>
          <w:p w14:paraId="1ACAD37E" w14:textId="77777777" w:rsidR="006F0271" w:rsidRPr="00587F00" w:rsidRDefault="006F0271" w:rsidP="00773B23">
            <w:pPr>
              <w:rPr>
                <w:rFonts w:ascii="Calibri" w:eastAsia="Times New Roman" w:hAnsi="Calibri" w:cs="Calibri"/>
                <w:color w:val="000000"/>
                <w:sz w:val="22"/>
              </w:rPr>
            </w:pPr>
            <w:r>
              <w:rPr>
                <w:rFonts w:ascii="Calibri" w:eastAsia="Times New Roman" w:hAnsi="Calibri" w:cs="Calibri"/>
                <w:color w:val="000000"/>
                <w:sz w:val="22"/>
              </w:rPr>
              <w:t>ECO 111</w:t>
            </w:r>
          </w:p>
        </w:tc>
        <w:tc>
          <w:tcPr>
            <w:tcW w:w="738" w:type="dxa"/>
            <w:tcBorders>
              <w:top w:val="nil"/>
              <w:left w:val="nil"/>
              <w:bottom w:val="nil"/>
              <w:right w:val="nil"/>
            </w:tcBorders>
            <w:shd w:val="clear" w:color="auto" w:fill="auto"/>
            <w:noWrap/>
            <w:vAlign w:val="bottom"/>
            <w:hideMark/>
          </w:tcPr>
          <w:p w14:paraId="72204B3B"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3.77</w:t>
            </w:r>
          </w:p>
        </w:tc>
        <w:tc>
          <w:tcPr>
            <w:tcW w:w="990" w:type="dxa"/>
            <w:tcBorders>
              <w:top w:val="nil"/>
              <w:left w:val="nil"/>
              <w:bottom w:val="nil"/>
              <w:right w:val="nil"/>
            </w:tcBorders>
            <w:shd w:val="clear" w:color="auto" w:fill="auto"/>
            <w:noWrap/>
            <w:vAlign w:val="bottom"/>
            <w:hideMark/>
          </w:tcPr>
          <w:p w14:paraId="5BF31B0E"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24</w:t>
            </w:r>
          </w:p>
        </w:tc>
        <w:tc>
          <w:tcPr>
            <w:tcW w:w="990" w:type="dxa"/>
            <w:tcBorders>
              <w:top w:val="nil"/>
              <w:left w:val="nil"/>
              <w:bottom w:val="nil"/>
              <w:right w:val="nil"/>
            </w:tcBorders>
            <w:shd w:val="clear" w:color="auto" w:fill="auto"/>
            <w:noWrap/>
            <w:vAlign w:val="bottom"/>
            <w:hideMark/>
          </w:tcPr>
          <w:p w14:paraId="1861D569"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5</w:t>
            </w:r>
          </w:p>
        </w:tc>
        <w:tc>
          <w:tcPr>
            <w:tcW w:w="1080" w:type="dxa"/>
            <w:tcBorders>
              <w:top w:val="nil"/>
              <w:left w:val="nil"/>
              <w:bottom w:val="nil"/>
              <w:right w:val="nil"/>
            </w:tcBorders>
            <w:shd w:val="clear" w:color="auto" w:fill="auto"/>
            <w:noWrap/>
            <w:vAlign w:val="bottom"/>
            <w:hideMark/>
          </w:tcPr>
          <w:p w14:paraId="7C44D124"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1</w:t>
            </w:r>
          </w:p>
        </w:tc>
        <w:tc>
          <w:tcPr>
            <w:tcW w:w="990" w:type="dxa"/>
            <w:tcBorders>
              <w:top w:val="nil"/>
              <w:left w:val="nil"/>
              <w:bottom w:val="nil"/>
              <w:right w:val="nil"/>
            </w:tcBorders>
            <w:shd w:val="clear" w:color="auto" w:fill="auto"/>
            <w:noWrap/>
            <w:vAlign w:val="bottom"/>
            <w:hideMark/>
          </w:tcPr>
          <w:p w14:paraId="77185486"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0</w:t>
            </w:r>
          </w:p>
        </w:tc>
      </w:tr>
      <w:tr w:rsidR="006F0271" w:rsidRPr="00587F00" w14:paraId="1F376AD8" w14:textId="77777777" w:rsidTr="00773B23">
        <w:trPr>
          <w:trHeight w:val="285"/>
        </w:trPr>
        <w:tc>
          <w:tcPr>
            <w:tcW w:w="1260" w:type="dxa"/>
            <w:vMerge/>
            <w:tcBorders>
              <w:left w:val="nil"/>
              <w:right w:val="nil"/>
            </w:tcBorders>
          </w:tcPr>
          <w:p w14:paraId="04A79813" w14:textId="77777777" w:rsidR="006F0271" w:rsidRPr="00587F00" w:rsidRDefault="006F0271" w:rsidP="00773B23">
            <w:pPr>
              <w:rPr>
                <w:rFonts w:ascii="Calibri" w:eastAsia="Times New Roman" w:hAnsi="Calibri" w:cs="Calibri"/>
                <w:color w:val="000000"/>
                <w:sz w:val="22"/>
              </w:rPr>
            </w:pPr>
          </w:p>
        </w:tc>
        <w:tc>
          <w:tcPr>
            <w:tcW w:w="1422" w:type="dxa"/>
            <w:tcBorders>
              <w:top w:val="nil"/>
              <w:left w:val="nil"/>
              <w:bottom w:val="nil"/>
              <w:right w:val="nil"/>
            </w:tcBorders>
            <w:shd w:val="clear" w:color="auto" w:fill="auto"/>
            <w:noWrap/>
            <w:vAlign w:val="bottom"/>
            <w:hideMark/>
          </w:tcPr>
          <w:p w14:paraId="2C81C6ED" w14:textId="77777777" w:rsidR="006F0271" w:rsidRPr="00587F00" w:rsidRDefault="006F0271" w:rsidP="00773B23">
            <w:pPr>
              <w:rPr>
                <w:rFonts w:ascii="Calibri" w:eastAsia="Times New Roman" w:hAnsi="Calibri" w:cs="Calibri"/>
                <w:b/>
                <w:color w:val="000000"/>
                <w:sz w:val="22"/>
              </w:rPr>
            </w:pPr>
            <w:r w:rsidRPr="00587F00">
              <w:rPr>
                <w:rFonts w:ascii="Calibri" w:eastAsia="Times New Roman" w:hAnsi="Calibri" w:cs="Calibri"/>
                <w:b/>
                <w:color w:val="000000"/>
                <w:sz w:val="22"/>
              </w:rPr>
              <w:t>Overall</w:t>
            </w:r>
          </w:p>
        </w:tc>
        <w:tc>
          <w:tcPr>
            <w:tcW w:w="738" w:type="dxa"/>
            <w:tcBorders>
              <w:top w:val="nil"/>
              <w:left w:val="nil"/>
              <w:bottom w:val="nil"/>
              <w:right w:val="nil"/>
            </w:tcBorders>
            <w:shd w:val="clear" w:color="auto" w:fill="auto"/>
            <w:noWrap/>
            <w:vAlign w:val="bottom"/>
            <w:hideMark/>
          </w:tcPr>
          <w:p w14:paraId="09B94A84" w14:textId="77777777" w:rsidR="006F0271" w:rsidRPr="00587F00" w:rsidRDefault="006F0271" w:rsidP="00773B23">
            <w:pPr>
              <w:jc w:val="right"/>
              <w:rPr>
                <w:rFonts w:ascii="Calibri" w:eastAsia="Times New Roman" w:hAnsi="Calibri" w:cs="Calibri"/>
                <w:b/>
                <w:color w:val="000000"/>
                <w:sz w:val="22"/>
              </w:rPr>
            </w:pPr>
            <w:r w:rsidRPr="00587F00">
              <w:rPr>
                <w:rFonts w:ascii="Calibri" w:eastAsia="Times New Roman" w:hAnsi="Calibri" w:cs="Calibri"/>
                <w:b/>
                <w:color w:val="000000"/>
                <w:sz w:val="22"/>
              </w:rPr>
              <w:t>3.03</w:t>
            </w:r>
          </w:p>
        </w:tc>
        <w:tc>
          <w:tcPr>
            <w:tcW w:w="990" w:type="dxa"/>
            <w:tcBorders>
              <w:top w:val="nil"/>
              <w:left w:val="nil"/>
              <w:bottom w:val="nil"/>
              <w:right w:val="nil"/>
            </w:tcBorders>
            <w:shd w:val="clear" w:color="auto" w:fill="auto"/>
            <w:noWrap/>
            <w:vAlign w:val="bottom"/>
            <w:hideMark/>
          </w:tcPr>
          <w:p w14:paraId="246C6A52" w14:textId="77777777" w:rsidR="006F0271" w:rsidRPr="00587F00" w:rsidRDefault="006F0271" w:rsidP="00773B23">
            <w:pPr>
              <w:jc w:val="right"/>
              <w:rPr>
                <w:rFonts w:ascii="Calibri" w:eastAsia="Times New Roman" w:hAnsi="Calibri" w:cs="Calibri"/>
                <w:b/>
                <w:color w:val="000000"/>
                <w:sz w:val="22"/>
              </w:rPr>
            </w:pPr>
            <w:r w:rsidRPr="00587F00">
              <w:rPr>
                <w:rFonts w:ascii="Calibri" w:eastAsia="Times New Roman" w:hAnsi="Calibri" w:cs="Calibri"/>
                <w:b/>
                <w:color w:val="000000"/>
                <w:sz w:val="22"/>
              </w:rPr>
              <w:t>47</w:t>
            </w:r>
          </w:p>
        </w:tc>
        <w:tc>
          <w:tcPr>
            <w:tcW w:w="990" w:type="dxa"/>
            <w:tcBorders>
              <w:top w:val="nil"/>
              <w:left w:val="nil"/>
              <w:bottom w:val="nil"/>
              <w:right w:val="nil"/>
            </w:tcBorders>
            <w:shd w:val="clear" w:color="auto" w:fill="auto"/>
            <w:noWrap/>
            <w:vAlign w:val="bottom"/>
            <w:hideMark/>
          </w:tcPr>
          <w:p w14:paraId="6E378063" w14:textId="77777777" w:rsidR="006F0271" w:rsidRPr="00587F00" w:rsidRDefault="006F0271" w:rsidP="00773B23">
            <w:pPr>
              <w:jc w:val="right"/>
              <w:rPr>
                <w:rFonts w:ascii="Calibri" w:eastAsia="Times New Roman" w:hAnsi="Calibri" w:cs="Calibri"/>
                <w:b/>
                <w:color w:val="000000"/>
                <w:sz w:val="22"/>
              </w:rPr>
            </w:pPr>
            <w:r w:rsidRPr="00587F00">
              <w:rPr>
                <w:rFonts w:ascii="Calibri" w:eastAsia="Times New Roman" w:hAnsi="Calibri" w:cs="Calibri"/>
                <w:b/>
                <w:color w:val="000000"/>
                <w:sz w:val="22"/>
              </w:rPr>
              <w:t>23</w:t>
            </w:r>
          </w:p>
        </w:tc>
        <w:tc>
          <w:tcPr>
            <w:tcW w:w="1080" w:type="dxa"/>
            <w:tcBorders>
              <w:top w:val="nil"/>
              <w:left w:val="nil"/>
              <w:bottom w:val="nil"/>
              <w:right w:val="nil"/>
            </w:tcBorders>
            <w:shd w:val="clear" w:color="auto" w:fill="auto"/>
            <w:noWrap/>
            <w:vAlign w:val="bottom"/>
            <w:hideMark/>
          </w:tcPr>
          <w:p w14:paraId="6245436F" w14:textId="77777777" w:rsidR="006F0271" w:rsidRPr="00587F00" w:rsidRDefault="006F0271" w:rsidP="00773B23">
            <w:pPr>
              <w:jc w:val="right"/>
              <w:rPr>
                <w:rFonts w:ascii="Calibri" w:eastAsia="Times New Roman" w:hAnsi="Calibri" w:cs="Calibri"/>
                <w:b/>
                <w:color w:val="000000"/>
                <w:sz w:val="22"/>
              </w:rPr>
            </w:pPr>
            <w:r w:rsidRPr="00587F00">
              <w:rPr>
                <w:rFonts w:ascii="Calibri" w:eastAsia="Times New Roman" w:hAnsi="Calibri" w:cs="Calibri"/>
                <w:b/>
                <w:color w:val="000000"/>
                <w:sz w:val="22"/>
              </w:rPr>
              <w:t>36</w:t>
            </w:r>
          </w:p>
        </w:tc>
        <w:tc>
          <w:tcPr>
            <w:tcW w:w="990" w:type="dxa"/>
            <w:tcBorders>
              <w:top w:val="nil"/>
              <w:left w:val="nil"/>
              <w:bottom w:val="nil"/>
              <w:right w:val="nil"/>
            </w:tcBorders>
            <w:shd w:val="clear" w:color="auto" w:fill="auto"/>
            <w:noWrap/>
            <w:vAlign w:val="bottom"/>
            <w:hideMark/>
          </w:tcPr>
          <w:p w14:paraId="1638E1B4" w14:textId="77777777" w:rsidR="006F0271" w:rsidRPr="00587F00" w:rsidRDefault="006F0271" w:rsidP="00773B23">
            <w:pPr>
              <w:jc w:val="right"/>
              <w:rPr>
                <w:rFonts w:ascii="Calibri" w:eastAsia="Times New Roman" w:hAnsi="Calibri" w:cs="Calibri"/>
                <w:b/>
                <w:color w:val="000000"/>
                <w:sz w:val="22"/>
              </w:rPr>
            </w:pPr>
            <w:r w:rsidRPr="00587F00">
              <w:rPr>
                <w:rFonts w:ascii="Calibri" w:eastAsia="Times New Roman" w:hAnsi="Calibri" w:cs="Calibri"/>
                <w:b/>
                <w:color w:val="000000"/>
                <w:sz w:val="22"/>
              </w:rPr>
              <w:t>4</w:t>
            </w:r>
          </w:p>
        </w:tc>
      </w:tr>
      <w:tr w:rsidR="006F0271" w:rsidRPr="00587F00" w14:paraId="3E231428" w14:textId="77777777" w:rsidTr="00773B23">
        <w:trPr>
          <w:trHeight w:val="285"/>
        </w:trPr>
        <w:tc>
          <w:tcPr>
            <w:tcW w:w="1260" w:type="dxa"/>
            <w:vMerge/>
            <w:tcBorders>
              <w:left w:val="nil"/>
              <w:bottom w:val="nil"/>
              <w:right w:val="nil"/>
            </w:tcBorders>
          </w:tcPr>
          <w:p w14:paraId="2C0A99A4" w14:textId="77777777" w:rsidR="006F0271" w:rsidRPr="00587F00" w:rsidRDefault="006F0271" w:rsidP="00773B23">
            <w:pPr>
              <w:jc w:val="right"/>
              <w:rPr>
                <w:rFonts w:ascii="Calibri" w:eastAsia="Times New Roman" w:hAnsi="Calibri" w:cs="Calibri"/>
                <w:color w:val="000000"/>
                <w:sz w:val="22"/>
              </w:rPr>
            </w:pPr>
          </w:p>
        </w:tc>
        <w:tc>
          <w:tcPr>
            <w:tcW w:w="1422" w:type="dxa"/>
            <w:tcBorders>
              <w:top w:val="nil"/>
              <w:left w:val="nil"/>
              <w:bottom w:val="nil"/>
              <w:right w:val="nil"/>
            </w:tcBorders>
            <w:shd w:val="clear" w:color="auto" w:fill="auto"/>
            <w:noWrap/>
            <w:vAlign w:val="bottom"/>
            <w:hideMark/>
          </w:tcPr>
          <w:p w14:paraId="2DB4F2C2" w14:textId="77777777" w:rsidR="006F0271" w:rsidRPr="00587F00" w:rsidRDefault="006F0271" w:rsidP="00773B23">
            <w:pPr>
              <w:jc w:val="right"/>
              <w:rPr>
                <w:rFonts w:ascii="Calibri" w:eastAsia="Times New Roman" w:hAnsi="Calibri" w:cs="Calibri"/>
                <w:color w:val="000000"/>
                <w:sz w:val="22"/>
              </w:rPr>
            </w:pPr>
          </w:p>
        </w:tc>
        <w:tc>
          <w:tcPr>
            <w:tcW w:w="738" w:type="dxa"/>
            <w:tcBorders>
              <w:top w:val="nil"/>
              <w:left w:val="nil"/>
              <w:bottom w:val="nil"/>
              <w:right w:val="nil"/>
            </w:tcBorders>
            <w:shd w:val="clear" w:color="auto" w:fill="auto"/>
            <w:noWrap/>
            <w:vAlign w:val="bottom"/>
            <w:hideMark/>
          </w:tcPr>
          <w:p w14:paraId="11D1CF93" w14:textId="77777777" w:rsidR="006F0271" w:rsidRPr="00587F00" w:rsidRDefault="006F0271" w:rsidP="00773B23">
            <w:pPr>
              <w:rPr>
                <w:rFonts w:eastAsia="Times New Roman" w:cs="Times New Roman"/>
                <w:sz w:val="20"/>
                <w:szCs w:val="20"/>
              </w:rPr>
            </w:pPr>
          </w:p>
        </w:tc>
        <w:tc>
          <w:tcPr>
            <w:tcW w:w="990" w:type="dxa"/>
            <w:tcBorders>
              <w:top w:val="nil"/>
              <w:left w:val="nil"/>
              <w:bottom w:val="nil"/>
              <w:right w:val="nil"/>
            </w:tcBorders>
            <w:shd w:val="clear" w:color="auto" w:fill="auto"/>
            <w:noWrap/>
            <w:vAlign w:val="bottom"/>
            <w:hideMark/>
          </w:tcPr>
          <w:p w14:paraId="3914FEBD"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42.73%</w:t>
            </w:r>
          </w:p>
        </w:tc>
        <w:tc>
          <w:tcPr>
            <w:tcW w:w="990" w:type="dxa"/>
            <w:tcBorders>
              <w:top w:val="nil"/>
              <w:left w:val="nil"/>
              <w:bottom w:val="nil"/>
              <w:right w:val="nil"/>
            </w:tcBorders>
            <w:shd w:val="clear" w:color="auto" w:fill="auto"/>
            <w:noWrap/>
            <w:vAlign w:val="bottom"/>
            <w:hideMark/>
          </w:tcPr>
          <w:p w14:paraId="757D654F"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20.91%</w:t>
            </w:r>
          </w:p>
        </w:tc>
        <w:tc>
          <w:tcPr>
            <w:tcW w:w="1080" w:type="dxa"/>
            <w:tcBorders>
              <w:top w:val="nil"/>
              <w:left w:val="nil"/>
              <w:bottom w:val="nil"/>
              <w:right w:val="nil"/>
            </w:tcBorders>
            <w:shd w:val="clear" w:color="auto" w:fill="auto"/>
            <w:noWrap/>
            <w:vAlign w:val="bottom"/>
            <w:hideMark/>
          </w:tcPr>
          <w:p w14:paraId="66A480EE"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32.73%</w:t>
            </w:r>
          </w:p>
        </w:tc>
        <w:tc>
          <w:tcPr>
            <w:tcW w:w="990" w:type="dxa"/>
            <w:tcBorders>
              <w:top w:val="nil"/>
              <w:left w:val="nil"/>
              <w:bottom w:val="nil"/>
              <w:right w:val="nil"/>
            </w:tcBorders>
            <w:shd w:val="clear" w:color="auto" w:fill="auto"/>
            <w:noWrap/>
            <w:vAlign w:val="bottom"/>
            <w:hideMark/>
          </w:tcPr>
          <w:p w14:paraId="4FF326C4"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3.64%</w:t>
            </w:r>
          </w:p>
        </w:tc>
      </w:tr>
    </w:tbl>
    <w:p w14:paraId="62C90C09" w14:textId="77777777" w:rsidR="006F0271" w:rsidRDefault="006F0271" w:rsidP="006F0271"/>
    <w:tbl>
      <w:tblPr>
        <w:tblW w:w="7449" w:type="dxa"/>
        <w:tblLook w:val="04A0" w:firstRow="1" w:lastRow="0" w:firstColumn="1" w:lastColumn="0" w:noHBand="0" w:noVBand="1"/>
      </w:tblPr>
      <w:tblGrid>
        <w:gridCol w:w="1323"/>
        <w:gridCol w:w="1026"/>
        <w:gridCol w:w="1020"/>
        <w:gridCol w:w="1020"/>
        <w:gridCol w:w="1020"/>
        <w:gridCol w:w="1020"/>
        <w:gridCol w:w="1020"/>
      </w:tblGrid>
      <w:tr w:rsidR="006F0271" w:rsidRPr="00587F00" w14:paraId="6AA2C2FB" w14:textId="77777777" w:rsidTr="00773B23">
        <w:trPr>
          <w:trHeight w:val="285"/>
        </w:trPr>
        <w:tc>
          <w:tcPr>
            <w:tcW w:w="1323" w:type="dxa"/>
            <w:vMerge w:val="restart"/>
            <w:tcBorders>
              <w:top w:val="nil"/>
              <w:left w:val="nil"/>
              <w:right w:val="nil"/>
            </w:tcBorders>
            <w:textDirection w:val="btLr"/>
          </w:tcPr>
          <w:p w14:paraId="55DF9660" w14:textId="77777777" w:rsidR="006F0271" w:rsidRPr="00587F00" w:rsidRDefault="006F0271" w:rsidP="00773B23">
            <w:pPr>
              <w:ind w:left="113" w:right="113"/>
              <w:rPr>
                <w:rFonts w:ascii="Calibri" w:eastAsia="Times New Roman" w:hAnsi="Calibri" w:cs="Calibri"/>
                <w:b/>
                <w:bCs/>
                <w:i/>
                <w:color w:val="000000"/>
                <w:sz w:val="22"/>
              </w:rPr>
            </w:pPr>
            <w:r w:rsidRPr="00587F00">
              <w:rPr>
                <w:i/>
              </w:rPr>
              <w:t>Calculation</w:t>
            </w:r>
          </w:p>
        </w:tc>
        <w:tc>
          <w:tcPr>
            <w:tcW w:w="1026" w:type="dxa"/>
            <w:tcBorders>
              <w:top w:val="nil"/>
              <w:left w:val="nil"/>
              <w:bottom w:val="nil"/>
              <w:right w:val="nil"/>
            </w:tcBorders>
            <w:shd w:val="clear" w:color="auto" w:fill="auto"/>
            <w:noWrap/>
            <w:vAlign w:val="bottom"/>
            <w:hideMark/>
          </w:tcPr>
          <w:p w14:paraId="7D98CA4C" w14:textId="77777777" w:rsidR="006F0271" w:rsidRPr="00587F00" w:rsidRDefault="006F0271" w:rsidP="00773B23">
            <w:pPr>
              <w:rPr>
                <w:rFonts w:ascii="Calibri" w:eastAsia="Times New Roman" w:hAnsi="Calibri" w:cs="Calibri"/>
                <w:b/>
                <w:bCs/>
                <w:color w:val="000000"/>
                <w:sz w:val="22"/>
              </w:rPr>
            </w:pPr>
            <w:r w:rsidRPr="00587F00">
              <w:rPr>
                <w:rFonts w:ascii="Calibri" w:eastAsia="Times New Roman" w:hAnsi="Calibri" w:cs="Calibri"/>
                <w:b/>
                <w:bCs/>
                <w:color w:val="000000"/>
                <w:sz w:val="22"/>
              </w:rPr>
              <w:t>Artifact</w:t>
            </w:r>
          </w:p>
        </w:tc>
        <w:tc>
          <w:tcPr>
            <w:tcW w:w="1020" w:type="dxa"/>
            <w:tcBorders>
              <w:top w:val="nil"/>
              <w:left w:val="nil"/>
              <w:bottom w:val="nil"/>
              <w:right w:val="nil"/>
            </w:tcBorders>
            <w:shd w:val="clear" w:color="auto" w:fill="auto"/>
            <w:noWrap/>
            <w:vAlign w:val="bottom"/>
            <w:hideMark/>
          </w:tcPr>
          <w:p w14:paraId="6995B540" w14:textId="77777777" w:rsidR="006F0271" w:rsidRPr="00587F00" w:rsidRDefault="006F0271" w:rsidP="00773B23">
            <w:pPr>
              <w:rPr>
                <w:rFonts w:ascii="Calibri" w:eastAsia="Times New Roman" w:hAnsi="Calibri" w:cs="Calibri"/>
                <w:b/>
                <w:bCs/>
                <w:color w:val="000000"/>
                <w:sz w:val="22"/>
              </w:rPr>
            </w:pPr>
            <w:r w:rsidRPr="00587F00">
              <w:rPr>
                <w:rFonts w:ascii="Calibri" w:eastAsia="Times New Roman" w:hAnsi="Calibri" w:cs="Calibri"/>
                <w:b/>
                <w:bCs/>
                <w:color w:val="000000"/>
                <w:sz w:val="22"/>
              </w:rPr>
              <w:t>Avg. Score</w:t>
            </w:r>
          </w:p>
        </w:tc>
        <w:tc>
          <w:tcPr>
            <w:tcW w:w="1020" w:type="dxa"/>
            <w:tcBorders>
              <w:top w:val="nil"/>
              <w:left w:val="nil"/>
              <w:bottom w:val="nil"/>
              <w:right w:val="nil"/>
            </w:tcBorders>
            <w:shd w:val="clear" w:color="auto" w:fill="auto"/>
            <w:noWrap/>
            <w:vAlign w:val="bottom"/>
            <w:hideMark/>
          </w:tcPr>
          <w:p w14:paraId="2F574AF7" w14:textId="77777777" w:rsidR="006F0271" w:rsidRPr="00587F00" w:rsidRDefault="006F0271" w:rsidP="00773B23">
            <w:pPr>
              <w:jc w:val="right"/>
              <w:rPr>
                <w:rFonts w:ascii="Calibri" w:eastAsia="Times New Roman" w:hAnsi="Calibri" w:cs="Calibri"/>
                <w:b/>
                <w:bCs/>
                <w:color w:val="000000"/>
                <w:sz w:val="22"/>
              </w:rPr>
            </w:pPr>
            <w:r w:rsidRPr="00587F00">
              <w:rPr>
                <w:rFonts w:ascii="Calibri" w:eastAsia="Times New Roman" w:hAnsi="Calibri" w:cs="Calibri"/>
                <w:b/>
                <w:bCs/>
                <w:color w:val="000000"/>
                <w:sz w:val="22"/>
              </w:rPr>
              <w:t>4</w:t>
            </w:r>
          </w:p>
        </w:tc>
        <w:tc>
          <w:tcPr>
            <w:tcW w:w="1020" w:type="dxa"/>
            <w:tcBorders>
              <w:top w:val="nil"/>
              <w:left w:val="nil"/>
              <w:bottom w:val="nil"/>
              <w:right w:val="nil"/>
            </w:tcBorders>
            <w:shd w:val="clear" w:color="auto" w:fill="auto"/>
            <w:noWrap/>
            <w:vAlign w:val="bottom"/>
            <w:hideMark/>
          </w:tcPr>
          <w:p w14:paraId="42E3C317" w14:textId="77777777" w:rsidR="006F0271" w:rsidRPr="00587F00" w:rsidRDefault="006F0271" w:rsidP="00773B23">
            <w:pPr>
              <w:jc w:val="right"/>
              <w:rPr>
                <w:rFonts w:ascii="Calibri" w:eastAsia="Times New Roman" w:hAnsi="Calibri" w:cs="Calibri"/>
                <w:b/>
                <w:bCs/>
                <w:color w:val="000000"/>
                <w:sz w:val="22"/>
              </w:rPr>
            </w:pPr>
            <w:r w:rsidRPr="00587F00">
              <w:rPr>
                <w:rFonts w:ascii="Calibri" w:eastAsia="Times New Roman" w:hAnsi="Calibri" w:cs="Calibri"/>
                <w:b/>
                <w:bCs/>
                <w:color w:val="000000"/>
                <w:sz w:val="22"/>
              </w:rPr>
              <w:t>3</w:t>
            </w:r>
          </w:p>
        </w:tc>
        <w:tc>
          <w:tcPr>
            <w:tcW w:w="1020" w:type="dxa"/>
            <w:tcBorders>
              <w:top w:val="nil"/>
              <w:left w:val="nil"/>
              <w:bottom w:val="nil"/>
              <w:right w:val="nil"/>
            </w:tcBorders>
            <w:shd w:val="clear" w:color="auto" w:fill="auto"/>
            <w:noWrap/>
            <w:vAlign w:val="bottom"/>
            <w:hideMark/>
          </w:tcPr>
          <w:p w14:paraId="36C02FA2" w14:textId="77777777" w:rsidR="006F0271" w:rsidRPr="00587F00" w:rsidRDefault="006F0271" w:rsidP="00773B23">
            <w:pPr>
              <w:jc w:val="right"/>
              <w:rPr>
                <w:rFonts w:ascii="Calibri" w:eastAsia="Times New Roman" w:hAnsi="Calibri" w:cs="Calibri"/>
                <w:b/>
                <w:bCs/>
                <w:color w:val="000000"/>
                <w:sz w:val="22"/>
              </w:rPr>
            </w:pPr>
            <w:r w:rsidRPr="00587F00">
              <w:rPr>
                <w:rFonts w:ascii="Calibri" w:eastAsia="Times New Roman" w:hAnsi="Calibri" w:cs="Calibri"/>
                <w:b/>
                <w:bCs/>
                <w:color w:val="000000"/>
                <w:sz w:val="22"/>
              </w:rPr>
              <w:t>2</w:t>
            </w:r>
          </w:p>
        </w:tc>
        <w:tc>
          <w:tcPr>
            <w:tcW w:w="1020" w:type="dxa"/>
            <w:tcBorders>
              <w:top w:val="nil"/>
              <w:left w:val="nil"/>
              <w:bottom w:val="nil"/>
              <w:right w:val="nil"/>
            </w:tcBorders>
            <w:shd w:val="clear" w:color="auto" w:fill="auto"/>
            <w:noWrap/>
            <w:vAlign w:val="bottom"/>
            <w:hideMark/>
          </w:tcPr>
          <w:p w14:paraId="05F0315F" w14:textId="77777777" w:rsidR="006F0271" w:rsidRPr="00587F00" w:rsidRDefault="006F0271" w:rsidP="00773B23">
            <w:pPr>
              <w:jc w:val="right"/>
              <w:rPr>
                <w:rFonts w:ascii="Calibri" w:eastAsia="Times New Roman" w:hAnsi="Calibri" w:cs="Calibri"/>
                <w:b/>
                <w:bCs/>
                <w:color w:val="000000"/>
                <w:sz w:val="22"/>
              </w:rPr>
            </w:pPr>
            <w:r w:rsidRPr="00587F00">
              <w:rPr>
                <w:rFonts w:ascii="Calibri" w:eastAsia="Times New Roman" w:hAnsi="Calibri" w:cs="Calibri"/>
                <w:b/>
                <w:bCs/>
                <w:color w:val="000000"/>
                <w:sz w:val="22"/>
              </w:rPr>
              <w:t>1</w:t>
            </w:r>
          </w:p>
        </w:tc>
      </w:tr>
      <w:tr w:rsidR="006F0271" w:rsidRPr="00587F00" w14:paraId="7CF01279" w14:textId="77777777" w:rsidTr="00773B23">
        <w:trPr>
          <w:trHeight w:val="285"/>
        </w:trPr>
        <w:tc>
          <w:tcPr>
            <w:tcW w:w="1323" w:type="dxa"/>
            <w:vMerge/>
            <w:tcBorders>
              <w:left w:val="nil"/>
              <w:right w:val="nil"/>
            </w:tcBorders>
          </w:tcPr>
          <w:p w14:paraId="011EFD3D" w14:textId="77777777" w:rsidR="006F0271" w:rsidRPr="00587F00" w:rsidRDefault="006F0271" w:rsidP="00773B23">
            <w:pPr>
              <w:rPr>
                <w:rFonts w:ascii="Calibri" w:eastAsia="Times New Roman" w:hAnsi="Calibri" w:cs="Calibri"/>
                <w:color w:val="000000"/>
                <w:sz w:val="22"/>
              </w:rPr>
            </w:pPr>
          </w:p>
        </w:tc>
        <w:tc>
          <w:tcPr>
            <w:tcW w:w="1026" w:type="dxa"/>
            <w:tcBorders>
              <w:top w:val="nil"/>
              <w:left w:val="nil"/>
              <w:bottom w:val="nil"/>
              <w:right w:val="nil"/>
            </w:tcBorders>
            <w:shd w:val="clear" w:color="auto" w:fill="auto"/>
            <w:noWrap/>
            <w:vAlign w:val="bottom"/>
            <w:hideMark/>
          </w:tcPr>
          <w:p w14:paraId="1CE5CFC6" w14:textId="77777777" w:rsidR="006F0271" w:rsidRPr="00587F00" w:rsidRDefault="006F0271" w:rsidP="00773B23">
            <w:pPr>
              <w:rPr>
                <w:rFonts w:ascii="Calibri" w:eastAsia="Times New Roman" w:hAnsi="Calibri" w:cs="Calibri"/>
                <w:color w:val="000000"/>
                <w:sz w:val="22"/>
              </w:rPr>
            </w:pPr>
            <w:proofErr w:type="spellStart"/>
            <w:r>
              <w:rPr>
                <w:rFonts w:ascii="Calibri" w:eastAsia="Times New Roman" w:hAnsi="Calibri" w:cs="Calibri"/>
                <w:color w:val="000000"/>
                <w:sz w:val="22"/>
              </w:rPr>
              <w:t>PHY</w:t>
            </w:r>
            <w:proofErr w:type="spellEnd"/>
            <w:r>
              <w:rPr>
                <w:rFonts w:ascii="Calibri" w:eastAsia="Times New Roman" w:hAnsi="Calibri" w:cs="Calibri"/>
                <w:color w:val="000000"/>
                <w:sz w:val="22"/>
              </w:rPr>
              <w:t xml:space="preserve"> 140</w:t>
            </w:r>
          </w:p>
        </w:tc>
        <w:tc>
          <w:tcPr>
            <w:tcW w:w="1020" w:type="dxa"/>
            <w:tcBorders>
              <w:top w:val="nil"/>
              <w:left w:val="nil"/>
              <w:bottom w:val="nil"/>
              <w:right w:val="nil"/>
            </w:tcBorders>
            <w:shd w:val="clear" w:color="auto" w:fill="auto"/>
            <w:noWrap/>
            <w:vAlign w:val="bottom"/>
            <w:hideMark/>
          </w:tcPr>
          <w:p w14:paraId="3760A4C4"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2.53</w:t>
            </w:r>
          </w:p>
        </w:tc>
        <w:tc>
          <w:tcPr>
            <w:tcW w:w="1020" w:type="dxa"/>
            <w:tcBorders>
              <w:top w:val="nil"/>
              <w:left w:val="nil"/>
              <w:bottom w:val="nil"/>
              <w:right w:val="nil"/>
            </w:tcBorders>
            <w:shd w:val="clear" w:color="auto" w:fill="auto"/>
            <w:noWrap/>
            <w:vAlign w:val="bottom"/>
            <w:hideMark/>
          </w:tcPr>
          <w:p w14:paraId="119DBD46"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7</w:t>
            </w:r>
          </w:p>
        </w:tc>
        <w:tc>
          <w:tcPr>
            <w:tcW w:w="1020" w:type="dxa"/>
            <w:tcBorders>
              <w:top w:val="nil"/>
              <w:left w:val="nil"/>
              <w:bottom w:val="nil"/>
              <w:right w:val="nil"/>
            </w:tcBorders>
            <w:shd w:val="clear" w:color="auto" w:fill="auto"/>
            <w:noWrap/>
            <w:vAlign w:val="bottom"/>
            <w:hideMark/>
          </w:tcPr>
          <w:p w14:paraId="6B72DBED"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5</w:t>
            </w:r>
          </w:p>
        </w:tc>
        <w:tc>
          <w:tcPr>
            <w:tcW w:w="1020" w:type="dxa"/>
            <w:tcBorders>
              <w:top w:val="nil"/>
              <w:left w:val="nil"/>
              <w:bottom w:val="nil"/>
              <w:right w:val="nil"/>
            </w:tcBorders>
            <w:shd w:val="clear" w:color="auto" w:fill="auto"/>
            <w:noWrap/>
            <w:vAlign w:val="bottom"/>
            <w:hideMark/>
          </w:tcPr>
          <w:p w14:paraId="306C0776"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15</w:t>
            </w:r>
          </w:p>
        </w:tc>
        <w:tc>
          <w:tcPr>
            <w:tcW w:w="1020" w:type="dxa"/>
            <w:tcBorders>
              <w:top w:val="nil"/>
              <w:left w:val="nil"/>
              <w:bottom w:val="nil"/>
              <w:right w:val="nil"/>
            </w:tcBorders>
            <w:shd w:val="clear" w:color="auto" w:fill="auto"/>
            <w:noWrap/>
            <w:vAlign w:val="bottom"/>
            <w:hideMark/>
          </w:tcPr>
          <w:p w14:paraId="3B671727"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3</w:t>
            </w:r>
          </w:p>
        </w:tc>
      </w:tr>
      <w:tr w:rsidR="006F0271" w:rsidRPr="00587F00" w14:paraId="3D40EA14" w14:textId="77777777" w:rsidTr="00773B23">
        <w:trPr>
          <w:trHeight w:val="285"/>
        </w:trPr>
        <w:tc>
          <w:tcPr>
            <w:tcW w:w="1323" w:type="dxa"/>
            <w:vMerge/>
            <w:tcBorders>
              <w:left w:val="nil"/>
              <w:right w:val="nil"/>
            </w:tcBorders>
          </w:tcPr>
          <w:p w14:paraId="2101ADF6" w14:textId="77777777" w:rsidR="006F0271" w:rsidRPr="00587F00" w:rsidRDefault="006F0271" w:rsidP="00773B23">
            <w:pPr>
              <w:rPr>
                <w:rFonts w:ascii="Calibri" w:eastAsia="Times New Roman" w:hAnsi="Calibri" w:cs="Calibri"/>
                <w:color w:val="000000"/>
                <w:sz w:val="22"/>
              </w:rPr>
            </w:pPr>
          </w:p>
        </w:tc>
        <w:tc>
          <w:tcPr>
            <w:tcW w:w="1026" w:type="dxa"/>
            <w:tcBorders>
              <w:top w:val="nil"/>
              <w:left w:val="nil"/>
              <w:bottom w:val="nil"/>
              <w:right w:val="nil"/>
            </w:tcBorders>
            <w:shd w:val="clear" w:color="auto" w:fill="auto"/>
            <w:noWrap/>
            <w:vAlign w:val="bottom"/>
            <w:hideMark/>
          </w:tcPr>
          <w:p w14:paraId="587B6F89" w14:textId="77777777" w:rsidR="006F0271" w:rsidRPr="00587F00" w:rsidRDefault="006F0271" w:rsidP="00773B23">
            <w:pPr>
              <w:rPr>
                <w:rFonts w:ascii="Calibri" w:eastAsia="Times New Roman" w:hAnsi="Calibri" w:cs="Calibri"/>
                <w:color w:val="000000"/>
                <w:sz w:val="22"/>
              </w:rPr>
            </w:pPr>
            <w:r>
              <w:rPr>
                <w:rFonts w:ascii="Calibri" w:eastAsia="Times New Roman" w:hAnsi="Calibri" w:cs="Calibri"/>
                <w:color w:val="000000"/>
                <w:sz w:val="22"/>
              </w:rPr>
              <w:t>ECO 112</w:t>
            </w:r>
          </w:p>
        </w:tc>
        <w:tc>
          <w:tcPr>
            <w:tcW w:w="1020" w:type="dxa"/>
            <w:tcBorders>
              <w:top w:val="nil"/>
              <w:left w:val="nil"/>
              <w:bottom w:val="nil"/>
              <w:right w:val="nil"/>
            </w:tcBorders>
            <w:shd w:val="clear" w:color="auto" w:fill="auto"/>
            <w:noWrap/>
            <w:vAlign w:val="bottom"/>
            <w:hideMark/>
          </w:tcPr>
          <w:p w14:paraId="1272CB51"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3.43</w:t>
            </w:r>
          </w:p>
        </w:tc>
        <w:tc>
          <w:tcPr>
            <w:tcW w:w="1020" w:type="dxa"/>
            <w:tcBorders>
              <w:top w:val="nil"/>
              <w:left w:val="nil"/>
              <w:bottom w:val="nil"/>
              <w:right w:val="nil"/>
            </w:tcBorders>
            <w:shd w:val="clear" w:color="auto" w:fill="auto"/>
            <w:noWrap/>
            <w:vAlign w:val="bottom"/>
            <w:hideMark/>
          </w:tcPr>
          <w:p w14:paraId="58EE8F28"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20</w:t>
            </w:r>
          </w:p>
        </w:tc>
        <w:tc>
          <w:tcPr>
            <w:tcW w:w="1020" w:type="dxa"/>
            <w:tcBorders>
              <w:top w:val="nil"/>
              <w:left w:val="nil"/>
              <w:bottom w:val="nil"/>
              <w:right w:val="nil"/>
            </w:tcBorders>
            <w:shd w:val="clear" w:color="auto" w:fill="auto"/>
            <w:noWrap/>
            <w:vAlign w:val="bottom"/>
            <w:hideMark/>
          </w:tcPr>
          <w:p w14:paraId="52F6DC3A"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3</w:t>
            </w:r>
          </w:p>
        </w:tc>
        <w:tc>
          <w:tcPr>
            <w:tcW w:w="1020" w:type="dxa"/>
            <w:tcBorders>
              <w:top w:val="nil"/>
              <w:left w:val="nil"/>
              <w:bottom w:val="nil"/>
              <w:right w:val="nil"/>
            </w:tcBorders>
            <w:shd w:val="clear" w:color="auto" w:fill="auto"/>
            <w:noWrap/>
            <w:vAlign w:val="bottom"/>
            <w:hideMark/>
          </w:tcPr>
          <w:p w14:paraId="636B9015"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7</w:t>
            </w:r>
          </w:p>
        </w:tc>
        <w:tc>
          <w:tcPr>
            <w:tcW w:w="1020" w:type="dxa"/>
            <w:tcBorders>
              <w:top w:val="nil"/>
              <w:left w:val="nil"/>
              <w:bottom w:val="nil"/>
              <w:right w:val="nil"/>
            </w:tcBorders>
            <w:shd w:val="clear" w:color="auto" w:fill="auto"/>
            <w:noWrap/>
            <w:vAlign w:val="bottom"/>
            <w:hideMark/>
          </w:tcPr>
          <w:p w14:paraId="30836EDD"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0</w:t>
            </w:r>
          </w:p>
        </w:tc>
      </w:tr>
      <w:tr w:rsidR="006F0271" w:rsidRPr="00587F00" w14:paraId="0AB95060" w14:textId="77777777" w:rsidTr="00773B23">
        <w:trPr>
          <w:trHeight w:val="285"/>
        </w:trPr>
        <w:tc>
          <w:tcPr>
            <w:tcW w:w="1323" w:type="dxa"/>
            <w:vMerge/>
            <w:tcBorders>
              <w:left w:val="nil"/>
              <w:right w:val="nil"/>
            </w:tcBorders>
          </w:tcPr>
          <w:p w14:paraId="7E60DA47" w14:textId="77777777" w:rsidR="006F0271" w:rsidRPr="00587F00" w:rsidRDefault="006F0271" w:rsidP="00773B23">
            <w:pPr>
              <w:rPr>
                <w:rFonts w:ascii="Calibri" w:eastAsia="Times New Roman" w:hAnsi="Calibri" w:cs="Calibri"/>
                <w:color w:val="000000"/>
                <w:sz w:val="22"/>
              </w:rPr>
            </w:pPr>
          </w:p>
        </w:tc>
        <w:tc>
          <w:tcPr>
            <w:tcW w:w="1026" w:type="dxa"/>
            <w:tcBorders>
              <w:top w:val="nil"/>
              <w:left w:val="nil"/>
              <w:bottom w:val="nil"/>
              <w:right w:val="nil"/>
            </w:tcBorders>
            <w:shd w:val="clear" w:color="auto" w:fill="auto"/>
            <w:noWrap/>
            <w:vAlign w:val="bottom"/>
            <w:hideMark/>
          </w:tcPr>
          <w:p w14:paraId="64A2CDE7" w14:textId="77777777" w:rsidR="006F0271" w:rsidRPr="00587F00" w:rsidRDefault="006F0271" w:rsidP="00773B23">
            <w:pPr>
              <w:rPr>
                <w:rFonts w:ascii="Calibri" w:eastAsia="Times New Roman" w:hAnsi="Calibri" w:cs="Calibri"/>
                <w:color w:val="000000"/>
                <w:sz w:val="22"/>
              </w:rPr>
            </w:pPr>
            <w:r>
              <w:rPr>
                <w:rFonts w:ascii="Calibri" w:eastAsia="Times New Roman" w:hAnsi="Calibri" w:cs="Calibri"/>
                <w:color w:val="000000"/>
                <w:sz w:val="22"/>
              </w:rPr>
              <w:t>ECO 111</w:t>
            </w:r>
          </w:p>
        </w:tc>
        <w:tc>
          <w:tcPr>
            <w:tcW w:w="1020" w:type="dxa"/>
            <w:tcBorders>
              <w:top w:val="nil"/>
              <w:left w:val="nil"/>
              <w:bottom w:val="nil"/>
              <w:right w:val="nil"/>
            </w:tcBorders>
            <w:shd w:val="clear" w:color="auto" w:fill="auto"/>
            <w:noWrap/>
            <w:vAlign w:val="bottom"/>
            <w:hideMark/>
          </w:tcPr>
          <w:p w14:paraId="54C1F75A"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3.63</w:t>
            </w:r>
          </w:p>
        </w:tc>
        <w:tc>
          <w:tcPr>
            <w:tcW w:w="1020" w:type="dxa"/>
            <w:tcBorders>
              <w:top w:val="nil"/>
              <w:left w:val="nil"/>
              <w:bottom w:val="nil"/>
              <w:right w:val="nil"/>
            </w:tcBorders>
            <w:shd w:val="clear" w:color="auto" w:fill="auto"/>
            <w:noWrap/>
            <w:vAlign w:val="bottom"/>
            <w:hideMark/>
          </w:tcPr>
          <w:p w14:paraId="303B08C5"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22</w:t>
            </w:r>
          </w:p>
        </w:tc>
        <w:tc>
          <w:tcPr>
            <w:tcW w:w="1020" w:type="dxa"/>
            <w:tcBorders>
              <w:top w:val="nil"/>
              <w:left w:val="nil"/>
              <w:bottom w:val="nil"/>
              <w:right w:val="nil"/>
            </w:tcBorders>
            <w:shd w:val="clear" w:color="auto" w:fill="auto"/>
            <w:noWrap/>
            <w:vAlign w:val="bottom"/>
            <w:hideMark/>
          </w:tcPr>
          <w:p w14:paraId="63CC3592"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5</w:t>
            </w:r>
          </w:p>
        </w:tc>
        <w:tc>
          <w:tcPr>
            <w:tcW w:w="1020" w:type="dxa"/>
            <w:tcBorders>
              <w:top w:val="nil"/>
              <w:left w:val="nil"/>
              <w:bottom w:val="nil"/>
              <w:right w:val="nil"/>
            </w:tcBorders>
            <w:shd w:val="clear" w:color="auto" w:fill="auto"/>
            <w:noWrap/>
            <w:vAlign w:val="bottom"/>
            <w:hideMark/>
          </w:tcPr>
          <w:p w14:paraId="2C30113C"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3</w:t>
            </w:r>
          </w:p>
        </w:tc>
        <w:tc>
          <w:tcPr>
            <w:tcW w:w="1020" w:type="dxa"/>
            <w:tcBorders>
              <w:top w:val="nil"/>
              <w:left w:val="nil"/>
              <w:bottom w:val="nil"/>
              <w:right w:val="nil"/>
            </w:tcBorders>
            <w:shd w:val="clear" w:color="auto" w:fill="auto"/>
            <w:noWrap/>
            <w:vAlign w:val="bottom"/>
            <w:hideMark/>
          </w:tcPr>
          <w:p w14:paraId="4B11F38D"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0</w:t>
            </w:r>
          </w:p>
        </w:tc>
      </w:tr>
      <w:tr w:rsidR="006F0271" w:rsidRPr="00587F00" w14:paraId="0758DA5C" w14:textId="77777777" w:rsidTr="00773B23">
        <w:trPr>
          <w:trHeight w:val="285"/>
        </w:trPr>
        <w:tc>
          <w:tcPr>
            <w:tcW w:w="1323" w:type="dxa"/>
            <w:vMerge/>
            <w:tcBorders>
              <w:left w:val="nil"/>
              <w:right w:val="nil"/>
            </w:tcBorders>
          </w:tcPr>
          <w:p w14:paraId="024D38CA" w14:textId="77777777" w:rsidR="006F0271" w:rsidRPr="00587F00" w:rsidRDefault="006F0271" w:rsidP="00773B23">
            <w:pPr>
              <w:rPr>
                <w:rFonts w:ascii="Calibri" w:eastAsia="Times New Roman" w:hAnsi="Calibri" w:cs="Calibri"/>
                <w:color w:val="000000"/>
                <w:sz w:val="22"/>
              </w:rPr>
            </w:pPr>
          </w:p>
        </w:tc>
        <w:tc>
          <w:tcPr>
            <w:tcW w:w="1026" w:type="dxa"/>
            <w:tcBorders>
              <w:top w:val="nil"/>
              <w:left w:val="nil"/>
              <w:bottom w:val="nil"/>
              <w:right w:val="nil"/>
            </w:tcBorders>
            <w:shd w:val="clear" w:color="auto" w:fill="auto"/>
            <w:noWrap/>
            <w:vAlign w:val="bottom"/>
            <w:hideMark/>
          </w:tcPr>
          <w:p w14:paraId="67883C8D" w14:textId="77777777" w:rsidR="006F0271" w:rsidRPr="00587F00" w:rsidRDefault="006F0271" w:rsidP="00773B23">
            <w:pPr>
              <w:rPr>
                <w:rFonts w:ascii="Calibri" w:eastAsia="Times New Roman" w:hAnsi="Calibri" w:cs="Calibri"/>
                <w:b/>
                <w:color w:val="000000"/>
                <w:sz w:val="22"/>
              </w:rPr>
            </w:pPr>
            <w:r w:rsidRPr="00587F00">
              <w:rPr>
                <w:rFonts w:ascii="Calibri" w:eastAsia="Times New Roman" w:hAnsi="Calibri" w:cs="Calibri"/>
                <w:b/>
                <w:color w:val="000000"/>
                <w:sz w:val="22"/>
              </w:rPr>
              <w:t>Overall</w:t>
            </w:r>
          </w:p>
        </w:tc>
        <w:tc>
          <w:tcPr>
            <w:tcW w:w="1020" w:type="dxa"/>
            <w:tcBorders>
              <w:top w:val="nil"/>
              <w:left w:val="nil"/>
              <w:bottom w:val="nil"/>
              <w:right w:val="nil"/>
            </w:tcBorders>
            <w:shd w:val="clear" w:color="auto" w:fill="auto"/>
            <w:noWrap/>
            <w:vAlign w:val="bottom"/>
            <w:hideMark/>
          </w:tcPr>
          <w:p w14:paraId="7087DCA4" w14:textId="77777777" w:rsidR="006F0271" w:rsidRPr="00587F00" w:rsidRDefault="006F0271" w:rsidP="00773B23">
            <w:pPr>
              <w:jc w:val="right"/>
              <w:rPr>
                <w:rFonts w:ascii="Calibri" w:eastAsia="Times New Roman" w:hAnsi="Calibri" w:cs="Calibri"/>
                <w:b/>
                <w:color w:val="000000"/>
                <w:sz w:val="22"/>
              </w:rPr>
            </w:pPr>
            <w:r w:rsidRPr="00587F00">
              <w:rPr>
                <w:rFonts w:ascii="Calibri" w:eastAsia="Times New Roman" w:hAnsi="Calibri" w:cs="Calibri"/>
                <w:b/>
                <w:color w:val="000000"/>
                <w:sz w:val="22"/>
              </w:rPr>
              <w:t>3.20</w:t>
            </w:r>
          </w:p>
        </w:tc>
        <w:tc>
          <w:tcPr>
            <w:tcW w:w="1020" w:type="dxa"/>
            <w:tcBorders>
              <w:top w:val="nil"/>
              <w:left w:val="nil"/>
              <w:bottom w:val="nil"/>
              <w:right w:val="nil"/>
            </w:tcBorders>
            <w:shd w:val="clear" w:color="auto" w:fill="auto"/>
            <w:noWrap/>
            <w:vAlign w:val="bottom"/>
            <w:hideMark/>
          </w:tcPr>
          <w:p w14:paraId="2728743E" w14:textId="77777777" w:rsidR="006F0271" w:rsidRPr="00587F00" w:rsidRDefault="006F0271" w:rsidP="00773B23">
            <w:pPr>
              <w:jc w:val="right"/>
              <w:rPr>
                <w:rFonts w:ascii="Calibri" w:eastAsia="Times New Roman" w:hAnsi="Calibri" w:cs="Calibri"/>
                <w:b/>
                <w:color w:val="000000"/>
                <w:sz w:val="22"/>
              </w:rPr>
            </w:pPr>
            <w:r w:rsidRPr="00587F00">
              <w:rPr>
                <w:rFonts w:ascii="Calibri" w:eastAsia="Times New Roman" w:hAnsi="Calibri" w:cs="Calibri"/>
                <w:b/>
                <w:color w:val="000000"/>
                <w:sz w:val="22"/>
              </w:rPr>
              <w:t>49</w:t>
            </w:r>
          </w:p>
        </w:tc>
        <w:tc>
          <w:tcPr>
            <w:tcW w:w="1020" w:type="dxa"/>
            <w:tcBorders>
              <w:top w:val="nil"/>
              <w:left w:val="nil"/>
              <w:bottom w:val="nil"/>
              <w:right w:val="nil"/>
            </w:tcBorders>
            <w:shd w:val="clear" w:color="auto" w:fill="auto"/>
            <w:noWrap/>
            <w:vAlign w:val="bottom"/>
            <w:hideMark/>
          </w:tcPr>
          <w:p w14:paraId="56004151" w14:textId="77777777" w:rsidR="006F0271" w:rsidRPr="00587F00" w:rsidRDefault="006F0271" w:rsidP="00773B23">
            <w:pPr>
              <w:jc w:val="right"/>
              <w:rPr>
                <w:rFonts w:ascii="Calibri" w:eastAsia="Times New Roman" w:hAnsi="Calibri" w:cs="Calibri"/>
                <w:b/>
                <w:color w:val="000000"/>
                <w:sz w:val="22"/>
              </w:rPr>
            </w:pPr>
            <w:r w:rsidRPr="00587F00">
              <w:rPr>
                <w:rFonts w:ascii="Calibri" w:eastAsia="Times New Roman" w:hAnsi="Calibri" w:cs="Calibri"/>
                <w:b/>
                <w:color w:val="000000"/>
                <w:sz w:val="22"/>
              </w:rPr>
              <w:t>13</w:t>
            </w:r>
          </w:p>
        </w:tc>
        <w:tc>
          <w:tcPr>
            <w:tcW w:w="1020" w:type="dxa"/>
            <w:tcBorders>
              <w:top w:val="nil"/>
              <w:left w:val="nil"/>
              <w:bottom w:val="nil"/>
              <w:right w:val="nil"/>
            </w:tcBorders>
            <w:shd w:val="clear" w:color="auto" w:fill="auto"/>
            <w:noWrap/>
            <w:vAlign w:val="bottom"/>
            <w:hideMark/>
          </w:tcPr>
          <w:p w14:paraId="62D6B59D" w14:textId="77777777" w:rsidR="006F0271" w:rsidRPr="00587F00" w:rsidRDefault="006F0271" w:rsidP="00773B23">
            <w:pPr>
              <w:jc w:val="right"/>
              <w:rPr>
                <w:rFonts w:ascii="Calibri" w:eastAsia="Times New Roman" w:hAnsi="Calibri" w:cs="Calibri"/>
                <w:b/>
                <w:color w:val="000000"/>
                <w:sz w:val="22"/>
              </w:rPr>
            </w:pPr>
            <w:r w:rsidRPr="00587F00">
              <w:rPr>
                <w:rFonts w:ascii="Calibri" w:eastAsia="Times New Roman" w:hAnsi="Calibri" w:cs="Calibri"/>
                <w:b/>
                <w:color w:val="000000"/>
                <w:sz w:val="22"/>
              </w:rPr>
              <w:t>25</w:t>
            </w:r>
          </w:p>
        </w:tc>
        <w:tc>
          <w:tcPr>
            <w:tcW w:w="1020" w:type="dxa"/>
            <w:tcBorders>
              <w:top w:val="nil"/>
              <w:left w:val="nil"/>
              <w:bottom w:val="nil"/>
              <w:right w:val="nil"/>
            </w:tcBorders>
            <w:shd w:val="clear" w:color="auto" w:fill="auto"/>
            <w:noWrap/>
            <w:vAlign w:val="bottom"/>
            <w:hideMark/>
          </w:tcPr>
          <w:p w14:paraId="6202252B" w14:textId="77777777" w:rsidR="006F0271" w:rsidRPr="00587F00" w:rsidRDefault="006F0271" w:rsidP="00773B23">
            <w:pPr>
              <w:jc w:val="right"/>
              <w:rPr>
                <w:rFonts w:ascii="Calibri" w:eastAsia="Times New Roman" w:hAnsi="Calibri" w:cs="Calibri"/>
                <w:b/>
                <w:color w:val="000000"/>
                <w:sz w:val="22"/>
              </w:rPr>
            </w:pPr>
            <w:r w:rsidRPr="00587F00">
              <w:rPr>
                <w:rFonts w:ascii="Calibri" w:eastAsia="Times New Roman" w:hAnsi="Calibri" w:cs="Calibri"/>
                <w:b/>
                <w:color w:val="000000"/>
                <w:sz w:val="22"/>
              </w:rPr>
              <w:t>3</w:t>
            </w:r>
          </w:p>
        </w:tc>
      </w:tr>
      <w:tr w:rsidR="006F0271" w:rsidRPr="00587F00" w14:paraId="371F7C44" w14:textId="77777777" w:rsidTr="00773B23">
        <w:trPr>
          <w:trHeight w:val="285"/>
        </w:trPr>
        <w:tc>
          <w:tcPr>
            <w:tcW w:w="1323" w:type="dxa"/>
            <w:vMerge/>
            <w:tcBorders>
              <w:left w:val="nil"/>
              <w:bottom w:val="nil"/>
              <w:right w:val="nil"/>
            </w:tcBorders>
          </w:tcPr>
          <w:p w14:paraId="76BDB8EF" w14:textId="77777777" w:rsidR="006F0271" w:rsidRPr="00587F00" w:rsidRDefault="006F0271" w:rsidP="00773B23">
            <w:pPr>
              <w:jc w:val="right"/>
              <w:rPr>
                <w:rFonts w:ascii="Calibri" w:eastAsia="Times New Roman" w:hAnsi="Calibri" w:cs="Calibri"/>
                <w:color w:val="000000"/>
                <w:sz w:val="22"/>
              </w:rPr>
            </w:pPr>
          </w:p>
        </w:tc>
        <w:tc>
          <w:tcPr>
            <w:tcW w:w="1026" w:type="dxa"/>
            <w:tcBorders>
              <w:top w:val="nil"/>
              <w:left w:val="nil"/>
              <w:bottom w:val="nil"/>
              <w:right w:val="nil"/>
            </w:tcBorders>
            <w:shd w:val="clear" w:color="auto" w:fill="auto"/>
            <w:noWrap/>
            <w:vAlign w:val="bottom"/>
            <w:hideMark/>
          </w:tcPr>
          <w:p w14:paraId="676CADE5" w14:textId="77777777" w:rsidR="006F0271" w:rsidRPr="00587F00" w:rsidRDefault="006F0271" w:rsidP="00773B23">
            <w:pPr>
              <w:jc w:val="right"/>
              <w:rPr>
                <w:rFonts w:ascii="Calibri" w:eastAsia="Times New Roman" w:hAnsi="Calibri" w:cs="Calibri"/>
                <w:color w:val="000000"/>
                <w:sz w:val="22"/>
              </w:rPr>
            </w:pPr>
          </w:p>
        </w:tc>
        <w:tc>
          <w:tcPr>
            <w:tcW w:w="1020" w:type="dxa"/>
            <w:tcBorders>
              <w:top w:val="nil"/>
              <w:left w:val="nil"/>
              <w:bottom w:val="nil"/>
              <w:right w:val="nil"/>
            </w:tcBorders>
            <w:shd w:val="clear" w:color="auto" w:fill="auto"/>
            <w:noWrap/>
            <w:vAlign w:val="bottom"/>
            <w:hideMark/>
          </w:tcPr>
          <w:p w14:paraId="4F581ACF" w14:textId="77777777" w:rsidR="006F0271" w:rsidRPr="00587F00" w:rsidRDefault="006F0271" w:rsidP="00773B23">
            <w:pPr>
              <w:rPr>
                <w:rFonts w:eastAsia="Times New Roman" w:cs="Times New Roman"/>
                <w:sz w:val="20"/>
                <w:szCs w:val="20"/>
              </w:rPr>
            </w:pPr>
          </w:p>
        </w:tc>
        <w:tc>
          <w:tcPr>
            <w:tcW w:w="1020" w:type="dxa"/>
            <w:tcBorders>
              <w:top w:val="nil"/>
              <w:left w:val="nil"/>
              <w:bottom w:val="nil"/>
              <w:right w:val="nil"/>
            </w:tcBorders>
            <w:shd w:val="clear" w:color="auto" w:fill="auto"/>
            <w:noWrap/>
            <w:vAlign w:val="bottom"/>
            <w:hideMark/>
          </w:tcPr>
          <w:p w14:paraId="02095144"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54.44%</w:t>
            </w:r>
          </w:p>
        </w:tc>
        <w:tc>
          <w:tcPr>
            <w:tcW w:w="1020" w:type="dxa"/>
            <w:tcBorders>
              <w:top w:val="nil"/>
              <w:left w:val="nil"/>
              <w:bottom w:val="nil"/>
              <w:right w:val="nil"/>
            </w:tcBorders>
            <w:shd w:val="clear" w:color="auto" w:fill="auto"/>
            <w:noWrap/>
            <w:vAlign w:val="bottom"/>
            <w:hideMark/>
          </w:tcPr>
          <w:p w14:paraId="3A7F5DEB"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14.44%</w:t>
            </w:r>
          </w:p>
        </w:tc>
        <w:tc>
          <w:tcPr>
            <w:tcW w:w="1020" w:type="dxa"/>
            <w:tcBorders>
              <w:top w:val="nil"/>
              <w:left w:val="nil"/>
              <w:bottom w:val="nil"/>
              <w:right w:val="nil"/>
            </w:tcBorders>
            <w:shd w:val="clear" w:color="auto" w:fill="auto"/>
            <w:noWrap/>
            <w:vAlign w:val="bottom"/>
            <w:hideMark/>
          </w:tcPr>
          <w:p w14:paraId="4342CD66"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27.78%</w:t>
            </w:r>
          </w:p>
        </w:tc>
        <w:tc>
          <w:tcPr>
            <w:tcW w:w="1020" w:type="dxa"/>
            <w:tcBorders>
              <w:top w:val="nil"/>
              <w:left w:val="nil"/>
              <w:bottom w:val="nil"/>
              <w:right w:val="nil"/>
            </w:tcBorders>
            <w:shd w:val="clear" w:color="auto" w:fill="auto"/>
            <w:noWrap/>
            <w:vAlign w:val="bottom"/>
            <w:hideMark/>
          </w:tcPr>
          <w:p w14:paraId="74CEA867"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3.33%</w:t>
            </w:r>
          </w:p>
        </w:tc>
      </w:tr>
    </w:tbl>
    <w:p w14:paraId="4DEF187D" w14:textId="77777777" w:rsidR="006F0271" w:rsidRDefault="006F0271" w:rsidP="006F0271"/>
    <w:tbl>
      <w:tblPr>
        <w:tblW w:w="7470" w:type="dxa"/>
        <w:tblLook w:val="04A0" w:firstRow="1" w:lastRow="0" w:firstColumn="1" w:lastColumn="0" w:noHBand="0" w:noVBand="1"/>
      </w:tblPr>
      <w:tblGrid>
        <w:gridCol w:w="1260"/>
        <w:gridCol w:w="1440"/>
        <w:gridCol w:w="720"/>
        <w:gridCol w:w="990"/>
        <w:gridCol w:w="990"/>
        <w:gridCol w:w="990"/>
        <w:gridCol w:w="1080"/>
      </w:tblGrid>
      <w:tr w:rsidR="006F0271" w:rsidRPr="00587F00" w14:paraId="512F9096" w14:textId="77777777" w:rsidTr="00773B23">
        <w:trPr>
          <w:trHeight w:val="285"/>
        </w:trPr>
        <w:tc>
          <w:tcPr>
            <w:tcW w:w="1260" w:type="dxa"/>
            <w:vMerge w:val="restart"/>
            <w:tcBorders>
              <w:top w:val="nil"/>
              <w:left w:val="nil"/>
              <w:right w:val="nil"/>
            </w:tcBorders>
            <w:textDirection w:val="btLr"/>
          </w:tcPr>
          <w:p w14:paraId="688B60CE" w14:textId="77777777" w:rsidR="006F0271" w:rsidRPr="00587F00" w:rsidRDefault="006F0271" w:rsidP="00773B23">
            <w:pPr>
              <w:ind w:left="113" w:right="113"/>
              <w:rPr>
                <w:i/>
              </w:rPr>
            </w:pPr>
            <w:r w:rsidRPr="00587F00">
              <w:rPr>
                <w:i/>
              </w:rPr>
              <w:t>Application/Analysis</w:t>
            </w:r>
          </w:p>
        </w:tc>
        <w:tc>
          <w:tcPr>
            <w:tcW w:w="1440" w:type="dxa"/>
            <w:tcBorders>
              <w:top w:val="nil"/>
              <w:left w:val="nil"/>
              <w:bottom w:val="nil"/>
              <w:right w:val="nil"/>
            </w:tcBorders>
            <w:shd w:val="clear" w:color="auto" w:fill="auto"/>
            <w:noWrap/>
            <w:vAlign w:val="bottom"/>
            <w:hideMark/>
          </w:tcPr>
          <w:p w14:paraId="460DA02B" w14:textId="77777777" w:rsidR="006F0271" w:rsidRPr="00587F00" w:rsidRDefault="006F0271" w:rsidP="00773B23">
            <w:pPr>
              <w:rPr>
                <w:rFonts w:ascii="Calibri" w:eastAsia="Times New Roman" w:hAnsi="Calibri" w:cs="Calibri"/>
                <w:b/>
                <w:bCs/>
                <w:color w:val="000000"/>
                <w:sz w:val="22"/>
              </w:rPr>
            </w:pPr>
            <w:r w:rsidRPr="00587F00">
              <w:rPr>
                <w:rFonts w:ascii="Calibri" w:eastAsia="Times New Roman" w:hAnsi="Calibri" w:cs="Calibri"/>
                <w:b/>
                <w:bCs/>
                <w:color w:val="000000"/>
                <w:sz w:val="22"/>
              </w:rPr>
              <w:t>Artifact</w:t>
            </w:r>
          </w:p>
        </w:tc>
        <w:tc>
          <w:tcPr>
            <w:tcW w:w="720" w:type="dxa"/>
            <w:tcBorders>
              <w:top w:val="nil"/>
              <w:left w:val="nil"/>
              <w:bottom w:val="nil"/>
              <w:right w:val="nil"/>
            </w:tcBorders>
            <w:shd w:val="clear" w:color="auto" w:fill="auto"/>
            <w:noWrap/>
            <w:vAlign w:val="bottom"/>
            <w:hideMark/>
          </w:tcPr>
          <w:p w14:paraId="13C66997" w14:textId="77777777" w:rsidR="006F0271" w:rsidRPr="00587F00" w:rsidRDefault="006F0271" w:rsidP="00773B23">
            <w:pPr>
              <w:rPr>
                <w:rFonts w:ascii="Calibri" w:eastAsia="Times New Roman" w:hAnsi="Calibri" w:cs="Calibri"/>
                <w:b/>
                <w:bCs/>
                <w:color w:val="000000"/>
                <w:sz w:val="22"/>
              </w:rPr>
            </w:pPr>
            <w:r w:rsidRPr="00587F00">
              <w:rPr>
                <w:rFonts w:ascii="Calibri" w:eastAsia="Times New Roman" w:hAnsi="Calibri" w:cs="Calibri"/>
                <w:b/>
                <w:bCs/>
                <w:color w:val="000000"/>
                <w:sz w:val="22"/>
              </w:rPr>
              <w:t>Avg. Score</w:t>
            </w:r>
          </w:p>
        </w:tc>
        <w:tc>
          <w:tcPr>
            <w:tcW w:w="990" w:type="dxa"/>
            <w:tcBorders>
              <w:top w:val="nil"/>
              <w:left w:val="nil"/>
              <w:bottom w:val="nil"/>
              <w:right w:val="nil"/>
            </w:tcBorders>
            <w:shd w:val="clear" w:color="auto" w:fill="auto"/>
            <w:noWrap/>
            <w:vAlign w:val="bottom"/>
            <w:hideMark/>
          </w:tcPr>
          <w:p w14:paraId="3DCD82C6" w14:textId="77777777" w:rsidR="006F0271" w:rsidRPr="00587F00" w:rsidRDefault="006F0271" w:rsidP="00773B23">
            <w:pPr>
              <w:jc w:val="right"/>
              <w:rPr>
                <w:rFonts w:ascii="Calibri" w:eastAsia="Times New Roman" w:hAnsi="Calibri" w:cs="Calibri"/>
                <w:b/>
                <w:bCs/>
                <w:color w:val="000000"/>
                <w:sz w:val="22"/>
              </w:rPr>
            </w:pPr>
            <w:r w:rsidRPr="00587F00">
              <w:rPr>
                <w:rFonts w:ascii="Calibri" w:eastAsia="Times New Roman" w:hAnsi="Calibri" w:cs="Calibri"/>
                <w:b/>
                <w:bCs/>
                <w:color w:val="000000"/>
                <w:sz w:val="22"/>
              </w:rPr>
              <w:t>4</w:t>
            </w:r>
          </w:p>
        </w:tc>
        <w:tc>
          <w:tcPr>
            <w:tcW w:w="990" w:type="dxa"/>
            <w:tcBorders>
              <w:top w:val="nil"/>
              <w:left w:val="nil"/>
              <w:bottom w:val="nil"/>
              <w:right w:val="nil"/>
            </w:tcBorders>
            <w:shd w:val="clear" w:color="auto" w:fill="auto"/>
            <w:noWrap/>
            <w:vAlign w:val="bottom"/>
            <w:hideMark/>
          </w:tcPr>
          <w:p w14:paraId="101EB342" w14:textId="77777777" w:rsidR="006F0271" w:rsidRPr="00587F00" w:rsidRDefault="006F0271" w:rsidP="00773B23">
            <w:pPr>
              <w:jc w:val="right"/>
              <w:rPr>
                <w:rFonts w:ascii="Calibri" w:eastAsia="Times New Roman" w:hAnsi="Calibri" w:cs="Calibri"/>
                <w:b/>
                <w:bCs/>
                <w:color w:val="000000"/>
                <w:sz w:val="22"/>
              </w:rPr>
            </w:pPr>
            <w:r w:rsidRPr="00587F00">
              <w:rPr>
                <w:rFonts w:ascii="Calibri" w:eastAsia="Times New Roman" w:hAnsi="Calibri" w:cs="Calibri"/>
                <w:b/>
                <w:bCs/>
                <w:color w:val="000000"/>
                <w:sz w:val="22"/>
              </w:rPr>
              <w:t>3</w:t>
            </w:r>
          </w:p>
        </w:tc>
        <w:tc>
          <w:tcPr>
            <w:tcW w:w="990" w:type="dxa"/>
            <w:tcBorders>
              <w:top w:val="nil"/>
              <w:left w:val="nil"/>
              <w:bottom w:val="nil"/>
              <w:right w:val="nil"/>
            </w:tcBorders>
            <w:shd w:val="clear" w:color="auto" w:fill="auto"/>
            <w:noWrap/>
            <w:vAlign w:val="bottom"/>
            <w:hideMark/>
          </w:tcPr>
          <w:p w14:paraId="04CFAFD7" w14:textId="77777777" w:rsidR="006F0271" w:rsidRPr="00587F00" w:rsidRDefault="006F0271" w:rsidP="00773B23">
            <w:pPr>
              <w:jc w:val="right"/>
              <w:rPr>
                <w:rFonts w:ascii="Calibri" w:eastAsia="Times New Roman" w:hAnsi="Calibri" w:cs="Calibri"/>
                <w:b/>
                <w:bCs/>
                <w:color w:val="000000"/>
                <w:sz w:val="22"/>
              </w:rPr>
            </w:pPr>
            <w:r w:rsidRPr="00587F00">
              <w:rPr>
                <w:rFonts w:ascii="Calibri" w:eastAsia="Times New Roman" w:hAnsi="Calibri" w:cs="Calibri"/>
                <w:b/>
                <w:bCs/>
                <w:color w:val="000000"/>
                <w:sz w:val="22"/>
              </w:rPr>
              <w:t>2</w:t>
            </w:r>
          </w:p>
        </w:tc>
        <w:tc>
          <w:tcPr>
            <w:tcW w:w="1080" w:type="dxa"/>
            <w:tcBorders>
              <w:top w:val="nil"/>
              <w:left w:val="nil"/>
              <w:bottom w:val="nil"/>
              <w:right w:val="nil"/>
            </w:tcBorders>
            <w:shd w:val="clear" w:color="auto" w:fill="auto"/>
            <w:noWrap/>
            <w:vAlign w:val="bottom"/>
            <w:hideMark/>
          </w:tcPr>
          <w:p w14:paraId="2E997BCF" w14:textId="77777777" w:rsidR="006F0271" w:rsidRPr="00587F00" w:rsidRDefault="006F0271" w:rsidP="00773B23">
            <w:pPr>
              <w:jc w:val="right"/>
              <w:rPr>
                <w:rFonts w:ascii="Calibri" w:eastAsia="Times New Roman" w:hAnsi="Calibri" w:cs="Calibri"/>
                <w:b/>
                <w:bCs/>
                <w:color w:val="000000"/>
                <w:sz w:val="22"/>
              </w:rPr>
            </w:pPr>
            <w:r w:rsidRPr="00587F00">
              <w:rPr>
                <w:rFonts w:ascii="Calibri" w:eastAsia="Times New Roman" w:hAnsi="Calibri" w:cs="Calibri"/>
                <w:b/>
                <w:bCs/>
                <w:color w:val="000000"/>
                <w:sz w:val="22"/>
              </w:rPr>
              <w:t>1</w:t>
            </w:r>
          </w:p>
        </w:tc>
      </w:tr>
      <w:tr w:rsidR="006F0271" w:rsidRPr="00587F00" w14:paraId="2ADE24EE" w14:textId="77777777" w:rsidTr="00773B23">
        <w:trPr>
          <w:trHeight w:val="285"/>
        </w:trPr>
        <w:tc>
          <w:tcPr>
            <w:tcW w:w="1260" w:type="dxa"/>
            <w:vMerge/>
            <w:tcBorders>
              <w:left w:val="nil"/>
              <w:right w:val="nil"/>
            </w:tcBorders>
          </w:tcPr>
          <w:p w14:paraId="28CAA2E9" w14:textId="77777777" w:rsidR="006F0271" w:rsidRPr="00587F00" w:rsidRDefault="006F0271" w:rsidP="00773B23">
            <w:pPr>
              <w:rPr>
                <w:rFonts w:ascii="Calibri" w:eastAsia="Times New Roman" w:hAnsi="Calibri" w:cs="Calibri"/>
                <w:color w:val="000000"/>
                <w:sz w:val="22"/>
              </w:rPr>
            </w:pPr>
          </w:p>
        </w:tc>
        <w:tc>
          <w:tcPr>
            <w:tcW w:w="1440" w:type="dxa"/>
            <w:tcBorders>
              <w:top w:val="nil"/>
              <w:left w:val="nil"/>
              <w:bottom w:val="nil"/>
              <w:right w:val="nil"/>
            </w:tcBorders>
            <w:shd w:val="clear" w:color="auto" w:fill="auto"/>
            <w:noWrap/>
            <w:vAlign w:val="bottom"/>
            <w:hideMark/>
          </w:tcPr>
          <w:p w14:paraId="00D88503" w14:textId="77777777" w:rsidR="006F0271" w:rsidRPr="00587F00" w:rsidRDefault="006F0271" w:rsidP="00773B23">
            <w:pPr>
              <w:rPr>
                <w:rFonts w:ascii="Calibri" w:eastAsia="Times New Roman" w:hAnsi="Calibri" w:cs="Calibri"/>
                <w:color w:val="000000"/>
                <w:sz w:val="22"/>
              </w:rPr>
            </w:pPr>
            <w:r>
              <w:rPr>
                <w:rFonts w:ascii="Calibri" w:eastAsia="Times New Roman" w:hAnsi="Calibri" w:cs="Calibri"/>
                <w:color w:val="000000"/>
                <w:sz w:val="22"/>
              </w:rPr>
              <w:t>ECO 112</w:t>
            </w:r>
          </w:p>
        </w:tc>
        <w:tc>
          <w:tcPr>
            <w:tcW w:w="720" w:type="dxa"/>
            <w:tcBorders>
              <w:top w:val="nil"/>
              <w:left w:val="nil"/>
              <w:bottom w:val="nil"/>
              <w:right w:val="nil"/>
            </w:tcBorders>
            <w:shd w:val="clear" w:color="auto" w:fill="auto"/>
            <w:noWrap/>
            <w:vAlign w:val="bottom"/>
            <w:hideMark/>
          </w:tcPr>
          <w:p w14:paraId="0D7378B1"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2.87</w:t>
            </w:r>
          </w:p>
        </w:tc>
        <w:tc>
          <w:tcPr>
            <w:tcW w:w="990" w:type="dxa"/>
            <w:tcBorders>
              <w:top w:val="nil"/>
              <w:left w:val="nil"/>
              <w:bottom w:val="nil"/>
              <w:right w:val="nil"/>
            </w:tcBorders>
            <w:shd w:val="clear" w:color="auto" w:fill="auto"/>
            <w:noWrap/>
            <w:vAlign w:val="bottom"/>
            <w:hideMark/>
          </w:tcPr>
          <w:p w14:paraId="21E9E569"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7</w:t>
            </w:r>
          </w:p>
        </w:tc>
        <w:tc>
          <w:tcPr>
            <w:tcW w:w="990" w:type="dxa"/>
            <w:tcBorders>
              <w:top w:val="nil"/>
              <w:left w:val="nil"/>
              <w:bottom w:val="nil"/>
              <w:right w:val="nil"/>
            </w:tcBorders>
            <w:shd w:val="clear" w:color="auto" w:fill="auto"/>
            <w:noWrap/>
            <w:vAlign w:val="bottom"/>
            <w:hideMark/>
          </w:tcPr>
          <w:p w14:paraId="2512BA96"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14</w:t>
            </w:r>
          </w:p>
        </w:tc>
        <w:tc>
          <w:tcPr>
            <w:tcW w:w="990" w:type="dxa"/>
            <w:tcBorders>
              <w:top w:val="nil"/>
              <w:left w:val="nil"/>
              <w:bottom w:val="nil"/>
              <w:right w:val="nil"/>
            </w:tcBorders>
            <w:shd w:val="clear" w:color="auto" w:fill="auto"/>
            <w:noWrap/>
            <w:vAlign w:val="bottom"/>
            <w:hideMark/>
          </w:tcPr>
          <w:p w14:paraId="5A8CC89F"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7</w:t>
            </w:r>
          </w:p>
        </w:tc>
        <w:tc>
          <w:tcPr>
            <w:tcW w:w="1080" w:type="dxa"/>
            <w:tcBorders>
              <w:top w:val="nil"/>
              <w:left w:val="nil"/>
              <w:bottom w:val="nil"/>
              <w:right w:val="nil"/>
            </w:tcBorders>
            <w:shd w:val="clear" w:color="auto" w:fill="auto"/>
            <w:noWrap/>
            <w:vAlign w:val="bottom"/>
            <w:hideMark/>
          </w:tcPr>
          <w:p w14:paraId="65F95FD4"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2</w:t>
            </w:r>
          </w:p>
        </w:tc>
      </w:tr>
      <w:tr w:rsidR="006F0271" w:rsidRPr="00587F00" w14:paraId="0152A4DF" w14:textId="77777777" w:rsidTr="00773B23">
        <w:trPr>
          <w:trHeight w:val="285"/>
        </w:trPr>
        <w:tc>
          <w:tcPr>
            <w:tcW w:w="1260" w:type="dxa"/>
            <w:vMerge/>
            <w:tcBorders>
              <w:left w:val="nil"/>
              <w:right w:val="nil"/>
            </w:tcBorders>
          </w:tcPr>
          <w:p w14:paraId="273B7AEE" w14:textId="77777777" w:rsidR="006F0271" w:rsidRPr="00587F00" w:rsidRDefault="006F0271" w:rsidP="00773B23">
            <w:pPr>
              <w:rPr>
                <w:rFonts w:ascii="Calibri" w:eastAsia="Times New Roman" w:hAnsi="Calibri" w:cs="Calibri"/>
                <w:color w:val="000000"/>
                <w:sz w:val="22"/>
              </w:rPr>
            </w:pPr>
          </w:p>
        </w:tc>
        <w:tc>
          <w:tcPr>
            <w:tcW w:w="1440" w:type="dxa"/>
            <w:tcBorders>
              <w:top w:val="nil"/>
              <w:left w:val="nil"/>
              <w:bottom w:val="nil"/>
              <w:right w:val="nil"/>
            </w:tcBorders>
            <w:shd w:val="clear" w:color="auto" w:fill="auto"/>
            <w:noWrap/>
            <w:vAlign w:val="bottom"/>
            <w:hideMark/>
          </w:tcPr>
          <w:p w14:paraId="2FE7C657" w14:textId="77777777" w:rsidR="006F0271" w:rsidRPr="00587F00" w:rsidRDefault="006F0271" w:rsidP="00773B23">
            <w:pPr>
              <w:rPr>
                <w:rFonts w:ascii="Calibri" w:eastAsia="Times New Roman" w:hAnsi="Calibri" w:cs="Calibri"/>
                <w:color w:val="000000"/>
                <w:sz w:val="22"/>
              </w:rPr>
            </w:pPr>
            <w:r>
              <w:rPr>
                <w:rFonts w:ascii="Calibri" w:eastAsia="Times New Roman" w:hAnsi="Calibri" w:cs="Calibri"/>
                <w:color w:val="000000"/>
                <w:sz w:val="22"/>
              </w:rPr>
              <w:t>ECO 111</w:t>
            </w:r>
          </w:p>
        </w:tc>
        <w:tc>
          <w:tcPr>
            <w:tcW w:w="720" w:type="dxa"/>
            <w:tcBorders>
              <w:top w:val="nil"/>
              <w:left w:val="nil"/>
              <w:bottom w:val="nil"/>
              <w:right w:val="nil"/>
            </w:tcBorders>
            <w:shd w:val="clear" w:color="auto" w:fill="auto"/>
            <w:noWrap/>
            <w:vAlign w:val="bottom"/>
            <w:hideMark/>
          </w:tcPr>
          <w:p w14:paraId="69B0D530"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3.30</w:t>
            </w:r>
          </w:p>
        </w:tc>
        <w:tc>
          <w:tcPr>
            <w:tcW w:w="990" w:type="dxa"/>
            <w:tcBorders>
              <w:top w:val="nil"/>
              <w:left w:val="nil"/>
              <w:bottom w:val="nil"/>
              <w:right w:val="nil"/>
            </w:tcBorders>
            <w:shd w:val="clear" w:color="auto" w:fill="auto"/>
            <w:noWrap/>
            <w:vAlign w:val="bottom"/>
            <w:hideMark/>
          </w:tcPr>
          <w:p w14:paraId="3FEF8D9F"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14</w:t>
            </w:r>
          </w:p>
        </w:tc>
        <w:tc>
          <w:tcPr>
            <w:tcW w:w="990" w:type="dxa"/>
            <w:tcBorders>
              <w:top w:val="nil"/>
              <w:left w:val="nil"/>
              <w:bottom w:val="nil"/>
              <w:right w:val="nil"/>
            </w:tcBorders>
            <w:shd w:val="clear" w:color="auto" w:fill="auto"/>
            <w:noWrap/>
            <w:vAlign w:val="bottom"/>
            <w:hideMark/>
          </w:tcPr>
          <w:p w14:paraId="6418D7EA"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11</w:t>
            </w:r>
          </w:p>
        </w:tc>
        <w:tc>
          <w:tcPr>
            <w:tcW w:w="990" w:type="dxa"/>
            <w:tcBorders>
              <w:top w:val="nil"/>
              <w:left w:val="nil"/>
              <w:bottom w:val="nil"/>
              <w:right w:val="nil"/>
            </w:tcBorders>
            <w:shd w:val="clear" w:color="auto" w:fill="auto"/>
            <w:noWrap/>
            <w:vAlign w:val="bottom"/>
            <w:hideMark/>
          </w:tcPr>
          <w:p w14:paraId="28200CF8"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5</w:t>
            </w:r>
          </w:p>
        </w:tc>
        <w:tc>
          <w:tcPr>
            <w:tcW w:w="1080" w:type="dxa"/>
            <w:tcBorders>
              <w:top w:val="nil"/>
              <w:left w:val="nil"/>
              <w:bottom w:val="nil"/>
              <w:right w:val="nil"/>
            </w:tcBorders>
            <w:shd w:val="clear" w:color="auto" w:fill="auto"/>
            <w:noWrap/>
            <w:vAlign w:val="bottom"/>
            <w:hideMark/>
          </w:tcPr>
          <w:p w14:paraId="709E3B37"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0</w:t>
            </w:r>
          </w:p>
        </w:tc>
      </w:tr>
      <w:tr w:rsidR="006F0271" w:rsidRPr="00587F00" w14:paraId="23A30051" w14:textId="77777777" w:rsidTr="00773B23">
        <w:trPr>
          <w:trHeight w:val="285"/>
        </w:trPr>
        <w:tc>
          <w:tcPr>
            <w:tcW w:w="1260" w:type="dxa"/>
            <w:vMerge/>
            <w:tcBorders>
              <w:left w:val="nil"/>
              <w:right w:val="nil"/>
            </w:tcBorders>
          </w:tcPr>
          <w:p w14:paraId="5A8BA41A" w14:textId="77777777" w:rsidR="006F0271" w:rsidRPr="00587F00" w:rsidRDefault="006F0271" w:rsidP="00773B23">
            <w:pPr>
              <w:rPr>
                <w:rFonts w:ascii="Calibri" w:eastAsia="Times New Roman" w:hAnsi="Calibri" w:cs="Calibri"/>
                <w:color w:val="000000"/>
                <w:sz w:val="22"/>
              </w:rPr>
            </w:pPr>
          </w:p>
        </w:tc>
        <w:tc>
          <w:tcPr>
            <w:tcW w:w="1440" w:type="dxa"/>
            <w:tcBorders>
              <w:top w:val="nil"/>
              <w:left w:val="nil"/>
              <w:bottom w:val="nil"/>
              <w:right w:val="nil"/>
            </w:tcBorders>
            <w:shd w:val="clear" w:color="auto" w:fill="auto"/>
            <w:noWrap/>
            <w:vAlign w:val="bottom"/>
            <w:hideMark/>
          </w:tcPr>
          <w:p w14:paraId="3A234FEA" w14:textId="77777777" w:rsidR="006F0271" w:rsidRPr="00587F00" w:rsidRDefault="006F0271" w:rsidP="00773B23">
            <w:pPr>
              <w:rPr>
                <w:rFonts w:ascii="Calibri" w:eastAsia="Times New Roman" w:hAnsi="Calibri" w:cs="Calibri"/>
                <w:b/>
                <w:color w:val="000000"/>
                <w:sz w:val="22"/>
              </w:rPr>
            </w:pPr>
            <w:r w:rsidRPr="00587F00">
              <w:rPr>
                <w:rFonts w:ascii="Calibri" w:eastAsia="Times New Roman" w:hAnsi="Calibri" w:cs="Calibri"/>
                <w:b/>
                <w:color w:val="000000"/>
                <w:sz w:val="22"/>
              </w:rPr>
              <w:t>Overall</w:t>
            </w:r>
          </w:p>
        </w:tc>
        <w:tc>
          <w:tcPr>
            <w:tcW w:w="720" w:type="dxa"/>
            <w:tcBorders>
              <w:top w:val="nil"/>
              <w:left w:val="nil"/>
              <w:bottom w:val="nil"/>
              <w:right w:val="nil"/>
            </w:tcBorders>
            <w:shd w:val="clear" w:color="auto" w:fill="auto"/>
            <w:noWrap/>
            <w:vAlign w:val="bottom"/>
            <w:hideMark/>
          </w:tcPr>
          <w:p w14:paraId="77BD9A79" w14:textId="77777777" w:rsidR="006F0271" w:rsidRPr="00587F00" w:rsidRDefault="006F0271" w:rsidP="00773B23">
            <w:pPr>
              <w:jc w:val="right"/>
              <w:rPr>
                <w:rFonts w:ascii="Calibri" w:eastAsia="Times New Roman" w:hAnsi="Calibri" w:cs="Calibri"/>
                <w:b/>
                <w:color w:val="000000"/>
                <w:sz w:val="22"/>
              </w:rPr>
            </w:pPr>
            <w:r w:rsidRPr="00587F00">
              <w:rPr>
                <w:rFonts w:ascii="Calibri" w:eastAsia="Times New Roman" w:hAnsi="Calibri" w:cs="Calibri"/>
                <w:b/>
                <w:color w:val="000000"/>
                <w:sz w:val="22"/>
              </w:rPr>
              <w:t>3.08</w:t>
            </w:r>
          </w:p>
        </w:tc>
        <w:tc>
          <w:tcPr>
            <w:tcW w:w="990" w:type="dxa"/>
            <w:tcBorders>
              <w:top w:val="nil"/>
              <w:left w:val="nil"/>
              <w:bottom w:val="nil"/>
              <w:right w:val="nil"/>
            </w:tcBorders>
            <w:shd w:val="clear" w:color="auto" w:fill="auto"/>
            <w:noWrap/>
            <w:vAlign w:val="bottom"/>
            <w:hideMark/>
          </w:tcPr>
          <w:p w14:paraId="3FDC0553" w14:textId="77777777" w:rsidR="006F0271" w:rsidRPr="00587F00" w:rsidRDefault="006F0271" w:rsidP="00773B23">
            <w:pPr>
              <w:jc w:val="right"/>
              <w:rPr>
                <w:rFonts w:ascii="Calibri" w:eastAsia="Times New Roman" w:hAnsi="Calibri" w:cs="Calibri"/>
                <w:b/>
                <w:color w:val="000000"/>
                <w:sz w:val="22"/>
              </w:rPr>
            </w:pPr>
            <w:r w:rsidRPr="00587F00">
              <w:rPr>
                <w:rFonts w:ascii="Calibri" w:eastAsia="Times New Roman" w:hAnsi="Calibri" w:cs="Calibri"/>
                <w:b/>
                <w:color w:val="000000"/>
                <w:sz w:val="22"/>
              </w:rPr>
              <w:t>21</w:t>
            </w:r>
          </w:p>
        </w:tc>
        <w:tc>
          <w:tcPr>
            <w:tcW w:w="990" w:type="dxa"/>
            <w:tcBorders>
              <w:top w:val="nil"/>
              <w:left w:val="nil"/>
              <w:bottom w:val="nil"/>
              <w:right w:val="nil"/>
            </w:tcBorders>
            <w:shd w:val="clear" w:color="auto" w:fill="auto"/>
            <w:noWrap/>
            <w:vAlign w:val="bottom"/>
            <w:hideMark/>
          </w:tcPr>
          <w:p w14:paraId="76C5143F" w14:textId="77777777" w:rsidR="006F0271" w:rsidRPr="00587F00" w:rsidRDefault="006F0271" w:rsidP="00773B23">
            <w:pPr>
              <w:jc w:val="right"/>
              <w:rPr>
                <w:rFonts w:ascii="Calibri" w:eastAsia="Times New Roman" w:hAnsi="Calibri" w:cs="Calibri"/>
                <w:b/>
                <w:color w:val="000000"/>
                <w:sz w:val="22"/>
              </w:rPr>
            </w:pPr>
            <w:r w:rsidRPr="00587F00">
              <w:rPr>
                <w:rFonts w:ascii="Calibri" w:eastAsia="Times New Roman" w:hAnsi="Calibri" w:cs="Calibri"/>
                <w:b/>
                <w:color w:val="000000"/>
                <w:sz w:val="22"/>
              </w:rPr>
              <w:t>25</w:t>
            </w:r>
          </w:p>
        </w:tc>
        <w:tc>
          <w:tcPr>
            <w:tcW w:w="990" w:type="dxa"/>
            <w:tcBorders>
              <w:top w:val="nil"/>
              <w:left w:val="nil"/>
              <w:bottom w:val="nil"/>
              <w:right w:val="nil"/>
            </w:tcBorders>
            <w:shd w:val="clear" w:color="auto" w:fill="auto"/>
            <w:noWrap/>
            <w:vAlign w:val="bottom"/>
            <w:hideMark/>
          </w:tcPr>
          <w:p w14:paraId="01A69F97" w14:textId="77777777" w:rsidR="006F0271" w:rsidRPr="00587F00" w:rsidRDefault="006F0271" w:rsidP="00773B23">
            <w:pPr>
              <w:jc w:val="right"/>
              <w:rPr>
                <w:rFonts w:ascii="Calibri" w:eastAsia="Times New Roman" w:hAnsi="Calibri" w:cs="Calibri"/>
                <w:b/>
                <w:color w:val="000000"/>
                <w:sz w:val="22"/>
              </w:rPr>
            </w:pPr>
            <w:r w:rsidRPr="00587F00">
              <w:rPr>
                <w:rFonts w:ascii="Calibri" w:eastAsia="Times New Roman" w:hAnsi="Calibri" w:cs="Calibri"/>
                <w:b/>
                <w:color w:val="000000"/>
                <w:sz w:val="22"/>
              </w:rPr>
              <w:t>12</w:t>
            </w:r>
          </w:p>
        </w:tc>
        <w:tc>
          <w:tcPr>
            <w:tcW w:w="1080" w:type="dxa"/>
            <w:tcBorders>
              <w:top w:val="nil"/>
              <w:left w:val="nil"/>
              <w:bottom w:val="nil"/>
              <w:right w:val="nil"/>
            </w:tcBorders>
            <w:shd w:val="clear" w:color="auto" w:fill="auto"/>
            <w:noWrap/>
            <w:vAlign w:val="bottom"/>
            <w:hideMark/>
          </w:tcPr>
          <w:p w14:paraId="70450A24" w14:textId="77777777" w:rsidR="006F0271" w:rsidRPr="00587F00" w:rsidRDefault="006F0271" w:rsidP="00773B23">
            <w:pPr>
              <w:jc w:val="right"/>
              <w:rPr>
                <w:rFonts w:ascii="Calibri" w:eastAsia="Times New Roman" w:hAnsi="Calibri" w:cs="Calibri"/>
                <w:b/>
                <w:color w:val="000000"/>
                <w:sz w:val="22"/>
              </w:rPr>
            </w:pPr>
            <w:r w:rsidRPr="00587F00">
              <w:rPr>
                <w:rFonts w:ascii="Calibri" w:eastAsia="Times New Roman" w:hAnsi="Calibri" w:cs="Calibri"/>
                <w:b/>
                <w:color w:val="000000"/>
                <w:sz w:val="22"/>
              </w:rPr>
              <w:t>2</w:t>
            </w:r>
          </w:p>
        </w:tc>
      </w:tr>
      <w:tr w:rsidR="006F0271" w:rsidRPr="00587F00" w14:paraId="7A115AE7" w14:textId="77777777" w:rsidTr="00773B23">
        <w:trPr>
          <w:trHeight w:val="285"/>
        </w:trPr>
        <w:tc>
          <w:tcPr>
            <w:tcW w:w="1260" w:type="dxa"/>
            <w:vMerge/>
            <w:tcBorders>
              <w:left w:val="nil"/>
              <w:bottom w:val="nil"/>
              <w:right w:val="nil"/>
            </w:tcBorders>
          </w:tcPr>
          <w:p w14:paraId="3F4FDE65" w14:textId="77777777" w:rsidR="006F0271" w:rsidRPr="00587F00" w:rsidRDefault="006F0271" w:rsidP="00773B23">
            <w:pPr>
              <w:jc w:val="right"/>
              <w:rPr>
                <w:rFonts w:ascii="Calibri" w:eastAsia="Times New Roman" w:hAnsi="Calibri" w:cs="Calibri"/>
                <w:color w:val="000000"/>
                <w:sz w:val="22"/>
              </w:rPr>
            </w:pPr>
          </w:p>
        </w:tc>
        <w:tc>
          <w:tcPr>
            <w:tcW w:w="1440" w:type="dxa"/>
            <w:tcBorders>
              <w:top w:val="nil"/>
              <w:left w:val="nil"/>
              <w:bottom w:val="nil"/>
              <w:right w:val="nil"/>
            </w:tcBorders>
            <w:shd w:val="clear" w:color="auto" w:fill="auto"/>
            <w:noWrap/>
            <w:vAlign w:val="bottom"/>
            <w:hideMark/>
          </w:tcPr>
          <w:p w14:paraId="7613A0A7" w14:textId="77777777" w:rsidR="006F0271" w:rsidRPr="00587F00" w:rsidRDefault="006F0271" w:rsidP="00773B23">
            <w:pPr>
              <w:jc w:val="right"/>
              <w:rPr>
                <w:rFonts w:ascii="Calibri" w:eastAsia="Times New Roman" w:hAnsi="Calibri" w:cs="Calibri"/>
                <w:color w:val="000000"/>
                <w:sz w:val="22"/>
              </w:rPr>
            </w:pPr>
          </w:p>
        </w:tc>
        <w:tc>
          <w:tcPr>
            <w:tcW w:w="720" w:type="dxa"/>
            <w:tcBorders>
              <w:top w:val="nil"/>
              <w:left w:val="nil"/>
              <w:bottom w:val="nil"/>
              <w:right w:val="nil"/>
            </w:tcBorders>
            <w:shd w:val="clear" w:color="auto" w:fill="auto"/>
            <w:noWrap/>
            <w:vAlign w:val="bottom"/>
            <w:hideMark/>
          </w:tcPr>
          <w:p w14:paraId="6A07304F" w14:textId="77777777" w:rsidR="006F0271" w:rsidRPr="00587F00" w:rsidRDefault="006F0271" w:rsidP="00773B23">
            <w:pPr>
              <w:rPr>
                <w:rFonts w:eastAsia="Times New Roman" w:cs="Times New Roman"/>
                <w:sz w:val="20"/>
                <w:szCs w:val="20"/>
              </w:rPr>
            </w:pPr>
          </w:p>
        </w:tc>
        <w:tc>
          <w:tcPr>
            <w:tcW w:w="990" w:type="dxa"/>
            <w:tcBorders>
              <w:top w:val="nil"/>
              <w:left w:val="nil"/>
              <w:bottom w:val="nil"/>
              <w:right w:val="nil"/>
            </w:tcBorders>
            <w:shd w:val="clear" w:color="auto" w:fill="auto"/>
            <w:noWrap/>
            <w:vAlign w:val="bottom"/>
            <w:hideMark/>
          </w:tcPr>
          <w:p w14:paraId="30D53A77"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35.00%</w:t>
            </w:r>
          </w:p>
        </w:tc>
        <w:tc>
          <w:tcPr>
            <w:tcW w:w="990" w:type="dxa"/>
            <w:tcBorders>
              <w:top w:val="nil"/>
              <w:left w:val="nil"/>
              <w:bottom w:val="nil"/>
              <w:right w:val="nil"/>
            </w:tcBorders>
            <w:shd w:val="clear" w:color="auto" w:fill="auto"/>
            <w:noWrap/>
            <w:vAlign w:val="bottom"/>
            <w:hideMark/>
          </w:tcPr>
          <w:p w14:paraId="7F30B30E"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41.67%</w:t>
            </w:r>
          </w:p>
        </w:tc>
        <w:tc>
          <w:tcPr>
            <w:tcW w:w="990" w:type="dxa"/>
            <w:tcBorders>
              <w:top w:val="nil"/>
              <w:left w:val="nil"/>
              <w:bottom w:val="nil"/>
              <w:right w:val="nil"/>
            </w:tcBorders>
            <w:shd w:val="clear" w:color="auto" w:fill="auto"/>
            <w:noWrap/>
            <w:vAlign w:val="bottom"/>
            <w:hideMark/>
          </w:tcPr>
          <w:p w14:paraId="0A521966"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20.00%</w:t>
            </w:r>
          </w:p>
        </w:tc>
        <w:tc>
          <w:tcPr>
            <w:tcW w:w="1080" w:type="dxa"/>
            <w:tcBorders>
              <w:top w:val="nil"/>
              <w:left w:val="nil"/>
              <w:bottom w:val="nil"/>
              <w:right w:val="nil"/>
            </w:tcBorders>
            <w:shd w:val="clear" w:color="auto" w:fill="auto"/>
            <w:noWrap/>
            <w:vAlign w:val="bottom"/>
            <w:hideMark/>
          </w:tcPr>
          <w:p w14:paraId="0AA51488" w14:textId="77777777" w:rsidR="006F0271" w:rsidRPr="00587F00" w:rsidRDefault="006F0271" w:rsidP="00773B23">
            <w:pPr>
              <w:jc w:val="right"/>
              <w:rPr>
                <w:rFonts w:ascii="Calibri" w:eastAsia="Times New Roman" w:hAnsi="Calibri" w:cs="Calibri"/>
                <w:color w:val="000000"/>
                <w:sz w:val="22"/>
              </w:rPr>
            </w:pPr>
            <w:r w:rsidRPr="00587F00">
              <w:rPr>
                <w:rFonts w:ascii="Calibri" w:eastAsia="Times New Roman" w:hAnsi="Calibri" w:cs="Calibri"/>
                <w:color w:val="000000"/>
                <w:sz w:val="22"/>
              </w:rPr>
              <w:t>3.33%</w:t>
            </w:r>
          </w:p>
        </w:tc>
      </w:tr>
    </w:tbl>
    <w:commentRangeEnd w:id="1"/>
    <w:p w14:paraId="06D94449" w14:textId="77777777" w:rsidR="006F0271" w:rsidRDefault="00345CB1" w:rsidP="006F0271">
      <w:r>
        <w:rPr>
          <w:rStyle w:val="CommentReference"/>
        </w:rPr>
        <w:commentReference w:id="1"/>
      </w:r>
    </w:p>
    <w:p w14:paraId="202FA954" w14:textId="77777777" w:rsidR="00B3459D" w:rsidRDefault="00B3459D"/>
    <w:p w14:paraId="4AD7F92F" w14:textId="44FB14FF" w:rsidR="00FB4925" w:rsidRDefault="00B3459D">
      <w:r>
        <w:t>For all dimensions, the average artifact score was between 3 and 4, and indicator that overall students were providing correct answers and demonstrating quantitative literacy. That being said, the team was somewhat more concerned with the percentage of scores at each level rather than the average score. In that regard, t</w:t>
      </w:r>
      <w:r w:rsidR="00FB4925" w:rsidRPr="00E2007B">
        <w:t xml:space="preserve">he </w:t>
      </w:r>
      <w:r w:rsidR="00FB4925">
        <w:t xml:space="preserve">team </w:t>
      </w:r>
      <w:r>
        <w:t xml:space="preserve">again </w:t>
      </w:r>
      <w:r w:rsidR="00FB4925">
        <w:t xml:space="preserve">felt that these scores were </w:t>
      </w:r>
      <w:r>
        <w:t xml:space="preserve">generally </w:t>
      </w:r>
      <w:r w:rsidR="00FB4925">
        <w:t>positive</w:t>
      </w:r>
      <w:r>
        <w:t xml:space="preserve">, but with the caveat that this assessment was dependent on the target score. If a score of 2 is the milestone score, as in the current rubric, the result of 90% of artifacts at that score or higher is seen as a strong confirmation that WCU students are achieving quantitative literacy through the gen </w:t>
      </w:r>
      <w:proofErr w:type="spellStart"/>
      <w:r>
        <w:t>ed</w:t>
      </w:r>
      <w:proofErr w:type="spellEnd"/>
      <w:r>
        <w:t xml:space="preserve"> program. Some members of the team, however, felt that the program should be aiming higher – that we should instead see a score of 3 or higher as the goal, in which case there would be room for improvement.</w:t>
      </w:r>
    </w:p>
    <w:p w14:paraId="6F616089" w14:textId="0ECD926E" w:rsidR="00773B23" w:rsidRDefault="00773B23">
      <w:pPr>
        <w:rPr>
          <w:b/>
        </w:rPr>
      </w:pPr>
      <w:r w:rsidRPr="00E2007B">
        <w:rPr>
          <w:b/>
        </w:rPr>
        <w:lastRenderedPageBreak/>
        <w:t>Recommendations</w:t>
      </w:r>
    </w:p>
    <w:p w14:paraId="7F7735B0" w14:textId="77777777" w:rsidR="00CF2AF8" w:rsidRPr="00E2007B" w:rsidRDefault="00CF2AF8">
      <w:pPr>
        <w:rPr>
          <w:b/>
        </w:rPr>
      </w:pPr>
    </w:p>
    <w:p w14:paraId="3F4A2157" w14:textId="2256E2B2" w:rsidR="00773B23" w:rsidRDefault="00773B23" w:rsidP="00E2007B">
      <w:pPr>
        <w:pStyle w:val="ListParagraph"/>
        <w:numPr>
          <w:ilvl w:val="0"/>
          <w:numId w:val="6"/>
        </w:numPr>
      </w:pPr>
      <w:r>
        <w:t>Choose artifacts with the rubric in mind to ensure that all dimensions of the rubric are covered in assessment.</w:t>
      </w:r>
    </w:p>
    <w:p w14:paraId="4FD5B4E7" w14:textId="71C3A8F6" w:rsidR="00773B23" w:rsidRDefault="00773B23" w:rsidP="00E2007B">
      <w:pPr>
        <w:pStyle w:val="ListParagraph"/>
        <w:numPr>
          <w:ilvl w:val="0"/>
          <w:numId w:val="6"/>
        </w:numPr>
      </w:pPr>
      <w:r>
        <w:t>Choose artifacts with clear and explicit expectations in terms of both the form and content of student work to enable easier interpretation by non-expert faculty.</w:t>
      </w:r>
    </w:p>
    <w:p w14:paraId="47B59FE2" w14:textId="7BB87FA9" w:rsidR="00773B23" w:rsidRDefault="00773B23">
      <w:pPr>
        <w:pStyle w:val="ListParagraph"/>
        <w:numPr>
          <w:ilvl w:val="0"/>
          <w:numId w:val="6"/>
        </w:numPr>
      </w:pPr>
      <w:r>
        <w:t xml:space="preserve">For assessment of the communication dimension, choose artifacts where student expectations with regard to communication were made explicit. </w:t>
      </w:r>
    </w:p>
    <w:p w14:paraId="37206C5B" w14:textId="416051D5" w:rsidR="00773B23" w:rsidRPr="00E2007B" w:rsidRDefault="00773B23" w:rsidP="00E2007B">
      <w:pPr>
        <w:pStyle w:val="ListParagraph"/>
        <w:numPr>
          <w:ilvl w:val="0"/>
          <w:numId w:val="6"/>
        </w:numPr>
      </w:pPr>
      <w:r>
        <w:t xml:space="preserve">Consider revising the rubric </w:t>
      </w:r>
      <w:r w:rsidR="00C639FB">
        <w:t>with a focus on interpreting the results and evening out the spacing between scores.</w:t>
      </w:r>
    </w:p>
    <w:p w14:paraId="64B3725C" w14:textId="3F5AFC1C" w:rsidR="00FB4925" w:rsidRDefault="006F0271">
      <w:pPr>
        <w:rPr>
          <w:b/>
        </w:rPr>
      </w:pPr>
      <w:r>
        <w:rPr>
          <w:b/>
        </w:rPr>
        <w:br w:type="page"/>
      </w:r>
    </w:p>
    <w:p w14:paraId="58A8C4C6" w14:textId="271157E5" w:rsidR="00E047FA" w:rsidRPr="00A23456" w:rsidRDefault="00A23456" w:rsidP="006F0271">
      <w:pPr>
        <w:jc w:val="center"/>
        <w:rPr>
          <w:b/>
        </w:rPr>
      </w:pPr>
      <w:r>
        <w:rPr>
          <w:b/>
        </w:rPr>
        <w:lastRenderedPageBreak/>
        <w:t>Goal #4 - Interdisciplinary</w:t>
      </w:r>
    </w:p>
    <w:p w14:paraId="5D91B233" w14:textId="77777777" w:rsidR="00E047FA" w:rsidRPr="00306953" w:rsidRDefault="00E047FA" w:rsidP="006F0271"/>
    <w:p w14:paraId="0F6B1FF9" w14:textId="6019D3E2" w:rsidR="00E047FA" w:rsidRPr="00ED1A9D" w:rsidRDefault="00E047FA" w:rsidP="00E047FA">
      <w:pPr>
        <w:rPr>
          <w:b/>
        </w:rPr>
      </w:pPr>
      <w:r w:rsidRPr="00ED1A9D">
        <w:rPr>
          <w:b/>
        </w:rPr>
        <w:t>Method</w:t>
      </w:r>
      <w:r w:rsidR="006F0271" w:rsidRPr="00ED1A9D">
        <w:rPr>
          <w:b/>
        </w:rPr>
        <w:t>s</w:t>
      </w:r>
    </w:p>
    <w:p w14:paraId="1BB64344" w14:textId="77777777" w:rsidR="00E047FA" w:rsidRPr="00306953" w:rsidRDefault="00E047FA" w:rsidP="00E047FA">
      <w:pPr>
        <w:rPr>
          <w:u w:val="single"/>
        </w:rPr>
      </w:pPr>
    </w:p>
    <w:p w14:paraId="5188FC55" w14:textId="24999E96" w:rsidR="00BF1269" w:rsidRDefault="00B22A6D" w:rsidP="006F0271">
      <w:pPr>
        <w:ind w:firstLine="720"/>
      </w:pPr>
      <w:r>
        <w:t>I</w:t>
      </w:r>
      <w:r w:rsidR="00AA356B">
        <w:t xml:space="preserve">nterdisciplinary </w:t>
      </w:r>
      <w:r w:rsidR="00502DFB">
        <w:t>(“I”) class</w:t>
      </w:r>
      <w:r w:rsidR="00AA356B">
        <w:t xml:space="preserve"> i</w:t>
      </w:r>
      <w:r w:rsidR="009F7411">
        <w:t>nstructors</w:t>
      </w:r>
      <w:r w:rsidR="00DB2E5B" w:rsidRPr="00306953">
        <w:t xml:space="preserve"> </w:t>
      </w:r>
      <w:r w:rsidR="00AD773D">
        <w:t xml:space="preserve">from </w:t>
      </w:r>
      <w:r>
        <w:t xml:space="preserve">four </w:t>
      </w:r>
      <w:r w:rsidR="00B9090D">
        <w:t xml:space="preserve">different </w:t>
      </w:r>
      <w:r w:rsidR="00E047FA" w:rsidRPr="00306953">
        <w:t xml:space="preserve">departments </w:t>
      </w:r>
      <w:r w:rsidR="00FB69A7" w:rsidRPr="00306953">
        <w:t>in three</w:t>
      </w:r>
      <w:r w:rsidR="009F7411">
        <w:t xml:space="preserve"> </w:t>
      </w:r>
      <w:r w:rsidR="00E047FA" w:rsidRPr="00306953">
        <w:t xml:space="preserve">colleges </w:t>
      </w:r>
      <w:r w:rsidR="009F7411">
        <w:t xml:space="preserve">were invited </w:t>
      </w:r>
      <w:r w:rsidR="00E047FA" w:rsidRPr="00306953">
        <w:t xml:space="preserve">to </w:t>
      </w:r>
      <w:r w:rsidR="00A23456">
        <w:t>join</w:t>
      </w:r>
      <w:r w:rsidR="00FB69A7" w:rsidRPr="00306953">
        <w:t xml:space="preserve"> the assessment team</w:t>
      </w:r>
      <w:r>
        <w:t xml:space="preserve">. </w:t>
      </w:r>
      <w:r w:rsidR="00AD773D">
        <w:t xml:space="preserve"> </w:t>
      </w:r>
      <w:r w:rsidR="00FB69A7" w:rsidRPr="00306953">
        <w:t>Team members</w:t>
      </w:r>
      <w:r w:rsidR="00AE0053" w:rsidRPr="00306953">
        <w:t xml:space="preserve"> </w:t>
      </w:r>
      <w:r w:rsidR="009F7411">
        <w:t>included Dr.</w:t>
      </w:r>
      <w:r w:rsidR="00AE0053" w:rsidRPr="00306953">
        <w:t xml:space="preserve"> Michele Bratina from Criminal Justice, </w:t>
      </w:r>
      <w:r w:rsidR="009F7411">
        <w:t xml:space="preserve">Dr. </w:t>
      </w:r>
      <w:r w:rsidR="00AE0053" w:rsidRPr="00306953">
        <w:t xml:space="preserve">Martha Donkor from History, </w:t>
      </w:r>
      <w:r w:rsidR="009F7411">
        <w:t xml:space="preserve">Dr. </w:t>
      </w:r>
      <w:r w:rsidR="00AE0053" w:rsidRPr="00306953">
        <w:t xml:space="preserve">Tim Lutz from Earth and Space Sciences and </w:t>
      </w:r>
      <w:r w:rsidR="009F7411">
        <w:t xml:space="preserve">Dr. </w:t>
      </w:r>
      <w:r>
        <w:t xml:space="preserve">Jea Oh from Philosophy.  </w:t>
      </w:r>
      <w:r w:rsidR="0046345C">
        <w:t xml:space="preserve">Dr. </w:t>
      </w:r>
      <w:r w:rsidR="0046345C" w:rsidRPr="00306953">
        <w:t>Lisa Calvano f</w:t>
      </w:r>
      <w:r w:rsidR="0046345C">
        <w:t xml:space="preserve">rom the Management Department served as the team leader. </w:t>
      </w:r>
      <w:r w:rsidR="00AD773D">
        <w:t xml:space="preserve"> </w:t>
      </w:r>
      <w:r w:rsidR="00FB69A7" w:rsidRPr="00306953">
        <w:t xml:space="preserve">The courses </w:t>
      </w:r>
      <w:r w:rsidR="00DB2E5B" w:rsidRPr="00306953">
        <w:t>represented</w:t>
      </w:r>
      <w:r w:rsidR="009F7411">
        <w:t xml:space="preserve"> </w:t>
      </w:r>
      <w:r w:rsidR="00FB69A7" w:rsidRPr="00306953">
        <w:t>were</w:t>
      </w:r>
      <w:r w:rsidR="00E047FA" w:rsidRPr="00306953">
        <w:t xml:space="preserve"> </w:t>
      </w:r>
      <w:r w:rsidR="00FB69A7" w:rsidRPr="00306953">
        <w:t>Forensic Mental Health (</w:t>
      </w:r>
      <w:proofErr w:type="spellStart"/>
      <w:r w:rsidR="00E047FA" w:rsidRPr="00306953">
        <w:t>CRJ</w:t>
      </w:r>
      <w:proofErr w:type="spellEnd"/>
      <w:r w:rsidR="00B12BB9">
        <w:t xml:space="preserve"> </w:t>
      </w:r>
      <w:r w:rsidR="00FB69A7" w:rsidRPr="00306953">
        <w:t>336), Humans and the Environment (</w:t>
      </w:r>
      <w:proofErr w:type="spellStart"/>
      <w:r w:rsidR="00FB69A7" w:rsidRPr="00306953">
        <w:t>ESS</w:t>
      </w:r>
      <w:proofErr w:type="spellEnd"/>
      <w:r w:rsidR="00B12BB9">
        <w:t xml:space="preserve"> </w:t>
      </w:r>
      <w:r w:rsidR="00FB69A7" w:rsidRPr="00306953">
        <w:t>102)</w:t>
      </w:r>
      <w:r w:rsidR="00E047FA" w:rsidRPr="00306953">
        <w:t xml:space="preserve">, </w:t>
      </w:r>
      <w:r w:rsidR="00FB69A7" w:rsidRPr="00306953">
        <w:t>Introduction to Religious Studies (PHI</w:t>
      </w:r>
      <w:r w:rsidR="00B12BB9">
        <w:t xml:space="preserve"> </w:t>
      </w:r>
      <w:r w:rsidR="00FB69A7" w:rsidRPr="00306953">
        <w:t>102) and Introduction to Women’s and Gender Studies (</w:t>
      </w:r>
      <w:proofErr w:type="spellStart"/>
      <w:r w:rsidR="00BF1269" w:rsidRPr="00306953">
        <w:t>WOS</w:t>
      </w:r>
      <w:proofErr w:type="spellEnd"/>
      <w:r w:rsidR="00FD5E74">
        <w:t xml:space="preserve"> </w:t>
      </w:r>
      <w:r w:rsidR="00BF1269" w:rsidRPr="00306953">
        <w:t>225</w:t>
      </w:r>
      <w:r w:rsidR="00FB69A7" w:rsidRPr="00306953">
        <w:t>)</w:t>
      </w:r>
      <w:r w:rsidR="00BF1269" w:rsidRPr="00306953">
        <w:t xml:space="preserve">. </w:t>
      </w:r>
      <w:r w:rsidR="00502DFB">
        <w:t xml:space="preserve">All classes were taught in person except </w:t>
      </w:r>
      <w:r w:rsidR="00A02628">
        <w:t xml:space="preserve">Dr. </w:t>
      </w:r>
      <w:proofErr w:type="spellStart"/>
      <w:r w:rsidR="00A02628">
        <w:t>Oh’</w:t>
      </w:r>
      <w:r w:rsidR="00502DFB">
        <w:t>s</w:t>
      </w:r>
      <w:proofErr w:type="spellEnd"/>
      <w:r w:rsidR="00502DFB">
        <w:t xml:space="preserve">, which </w:t>
      </w:r>
      <w:r w:rsidR="001F3746">
        <w:t xml:space="preserve">was 100% </w:t>
      </w:r>
      <w:r w:rsidR="00A02628">
        <w:t>online</w:t>
      </w:r>
      <w:r>
        <w:t>.</w:t>
      </w:r>
    </w:p>
    <w:p w14:paraId="05083BB0" w14:textId="77777777" w:rsidR="00BF7FF9" w:rsidRPr="00306953" w:rsidRDefault="00BF7FF9" w:rsidP="00E047FA"/>
    <w:p w14:paraId="0F4527BE" w14:textId="7C626D8F" w:rsidR="00BF1269" w:rsidRPr="00306953" w:rsidRDefault="00E047FA" w:rsidP="006F0271">
      <w:pPr>
        <w:ind w:firstLine="720"/>
      </w:pPr>
      <w:r w:rsidRPr="00306953">
        <w:t>The t</w:t>
      </w:r>
      <w:r w:rsidR="00194D12" w:rsidRPr="00306953">
        <w:t xml:space="preserve">eam met </w:t>
      </w:r>
      <w:r w:rsidR="00AE7ED0">
        <w:t xml:space="preserve">for the first time </w:t>
      </w:r>
      <w:r w:rsidR="00640D73" w:rsidRPr="00306953">
        <w:t>in</w:t>
      </w:r>
      <w:r w:rsidR="00194D12" w:rsidRPr="00306953">
        <w:t xml:space="preserve"> spring</w:t>
      </w:r>
      <w:r w:rsidR="00B3527E" w:rsidRPr="00306953">
        <w:t xml:space="preserve"> semester for</w:t>
      </w:r>
      <w:r w:rsidR="00194D12" w:rsidRPr="00306953">
        <w:t xml:space="preserve"> a training session</w:t>
      </w:r>
      <w:r w:rsidR="00E137D0">
        <w:t xml:space="preserve"> </w:t>
      </w:r>
      <w:r w:rsidR="00282391">
        <w:t>on</w:t>
      </w:r>
      <w:r w:rsidR="00DB2E5B" w:rsidRPr="00306953">
        <w:t xml:space="preserve"> the </w:t>
      </w:r>
      <w:r w:rsidR="00E137D0">
        <w:t xml:space="preserve">assessment </w:t>
      </w:r>
      <w:r w:rsidR="00DB2E5B" w:rsidRPr="00306953">
        <w:t>process and timeli</w:t>
      </w:r>
      <w:r w:rsidR="001508FE" w:rsidRPr="00306953">
        <w:t xml:space="preserve">ne.  </w:t>
      </w:r>
      <w:r w:rsidR="00B3527E" w:rsidRPr="00306953">
        <w:t xml:space="preserve">After the meeting each instructor selected an </w:t>
      </w:r>
      <w:r w:rsidRPr="00306953">
        <w:t xml:space="preserve">assignment </w:t>
      </w:r>
      <w:r w:rsidR="006D7547" w:rsidRPr="00306953">
        <w:t xml:space="preserve">from their class </w:t>
      </w:r>
      <w:r w:rsidR="00B3527E" w:rsidRPr="00306953">
        <w:t xml:space="preserve">and </w:t>
      </w:r>
      <w:r w:rsidRPr="00306953">
        <w:t>post</w:t>
      </w:r>
      <w:r w:rsidR="00BF1269" w:rsidRPr="00306953">
        <w:t>ed</w:t>
      </w:r>
      <w:r w:rsidR="00785EDE">
        <w:t xml:space="preserve"> 25</w:t>
      </w:r>
      <w:r w:rsidR="007901EA">
        <w:t>-35</w:t>
      </w:r>
      <w:r w:rsidR="00785EDE">
        <w:t xml:space="preserve"> </w:t>
      </w:r>
      <w:r w:rsidRPr="00306953">
        <w:t xml:space="preserve">artifacts along with </w:t>
      </w:r>
      <w:r w:rsidR="00E137D0">
        <w:t xml:space="preserve">the </w:t>
      </w:r>
      <w:r w:rsidRPr="00306953">
        <w:t xml:space="preserve">assignment instructions </w:t>
      </w:r>
      <w:r w:rsidR="00B3527E" w:rsidRPr="00306953">
        <w:t>on the General Education A</w:t>
      </w:r>
      <w:r w:rsidRPr="00306953">
        <w:t xml:space="preserve">ssessment D2L page. </w:t>
      </w:r>
      <w:r w:rsidR="00BF1269" w:rsidRPr="00306953">
        <w:t xml:space="preserve"> </w:t>
      </w:r>
      <w:r w:rsidR="00785EDE">
        <w:t>A total of 110 artifacts were posted on D2L.</w:t>
      </w:r>
    </w:p>
    <w:p w14:paraId="6B1255D9" w14:textId="77777777" w:rsidR="00BF1269" w:rsidRPr="00306953" w:rsidRDefault="00BF1269" w:rsidP="00E047FA"/>
    <w:p w14:paraId="0CD75ACF" w14:textId="26E1A7E9" w:rsidR="00785EDE" w:rsidRDefault="00B35F0E" w:rsidP="00A56AC0">
      <w:pPr>
        <w:ind w:firstLine="720"/>
      </w:pPr>
      <w:r>
        <w:t xml:space="preserve">The team met three </w:t>
      </w:r>
      <w:r w:rsidR="00BF1269" w:rsidRPr="00306953">
        <w:t xml:space="preserve">times </w:t>
      </w:r>
      <w:r w:rsidR="0074752B">
        <w:t>over the summer</w:t>
      </w:r>
      <w:r w:rsidR="00BF1269" w:rsidRPr="00306953">
        <w:t xml:space="preserve">. </w:t>
      </w:r>
      <w:r w:rsidR="004744A9">
        <w:t xml:space="preserve"> </w:t>
      </w:r>
      <w:r w:rsidR="00640D73" w:rsidRPr="00306953">
        <w:t xml:space="preserve">Prior to the first meeting, </w:t>
      </w:r>
      <w:r w:rsidR="00BF1269" w:rsidRPr="00306953">
        <w:t xml:space="preserve">team </w:t>
      </w:r>
      <w:r w:rsidR="00640D73" w:rsidRPr="00306953">
        <w:t xml:space="preserve">members </w:t>
      </w:r>
      <w:r>
        <w:t xml:space="preserve">used the </w:t>
      </w:r>
      <w:proofErr w:type="spellStart"/>
      <w:r>
        <w:t>AAC</w:t>
      </w:r>
      <w:r w:rsidR="00BF1269" w:rsidRPr="00306953">
        <w:t>U</w:t>
      </w:r>
      <w:proofErr w:type="spellEnd"/>
      <w:r w:rsidR="00BF1269" w:rsidRPr="00306953">
        <w:t xml:space="preserve"> Value Rubric for Integrative Learning to score </w:t>
      </w:r>
      <w:r w:rsidR="00640D73" w:rsidRPr="00306953">
        <w:t xml:space="preserve">the first </w:t>
      </w:r>
      <w:r w:rsidR="00BF1269" w:rsidRPr="00306953">
        <w:t xml:space="preserve">two </w:t>
      </w:r>
      <w:r w:rsidR="009E56A9">
        <w:t xml:space="preserve">artifacts. </w:t>
      </w:r>
      <w:r w:rsidR="009B6776">
        <w:t>During the first meeting</w:t>
      </w:r>
      <w:r w:rsidR="00A56AC0">
        <w:t xml:space="preserve"> </w:t>
      </w:r>
      <w:r w:rsidR="00640D73" w:rsidRPr="00306953">
        <w:t xml:space="preserve">team members </w:t>
      </w:r>
      <w:r w:rsidR="005667A8">
        <w:t xml:space="preserve">decided to modify </w:t>
      </w:r>
      <w:r w:rsidR="00A56AC0">
        <w:t xml:space="preserve">one of </w:t>
      </w:r>
      <w:r w:rsidR="005667A8">
        <w:t xml:space="preserve">the rubric dimensions.  </w:t>
      </w:r>
      <w:r w:rsidR="00A56AC0">
        <w:t xml:space="preserve">Prior to the second meeting </w:t>
      </w:r>
      <w:r w:rsidR="00640D73" w:rsidRPr="00306953">
        <w:t xml:space="preserve">team members </w:t>
      </w:r>
      <w:r w:rsidR="00A56AC0">
        <w:t>used the revised rubric to score</w:t>
      </w:r>
      <w:r w:rsidR="009E56A9">
        <w:t xml:space="preserve"> </w:t>
      </w:r>
      <w:r w:rsidR="00AE0053" w:rsidRPr="00306953">
        <w:t xml:space="preserve">five artifacts, </w:t>
      </w:r>
      <w:r w:rsidR="00640D73" w:rsidRPr="00306953">
        <w:t>including</w:t>
      </w:r>
      <w:r w:rsidR="00AE0053" w:rsidRPr="00306953">
        <w:t xml:space="preserve"> r</w:t>
      </w:r>
      <w:r w:rsidR="009B6776">
        <w:t>escoring the first two</w:t>
      </w:r>
      <w:r w:rsidR="00640D73" w:rsidRPr="00306953">
        <w:t>.  During the</w:t>
      </w:r>
      <w:r w:rsidR="00AE0053" w:rsidRPr="00306953">
        <w:t xml:space="preserve"> second</w:t>
      </w:r>
      <w:r w:rsidR="00785EDE">
        <w:t xml:space="preserve"> meeting</w:t>
      </w:r>
      <w:r w:rsidR="009B6776">
        <w:t xml:space="preserve"> the team decided that </w:t>
      </w:r>
      <w:r w:rsidR="00AE0053" w:rsidRPr="00306953">
        <w:t xml:space="preserve">the </w:t>
      </w:r>
      <w:r w:rsidR="00A56AC0">
        <w:t xml:space="preserve">revised </w:t>
      </w:r>
      <w:proofErr w:type="spellStart"/>
      <w:r w:rsidR="00640D73" w:rsidRPr="00306953">
        <w:t>AACU</w:t>
      </w:r>
      <w:proofErr w:type="spellEnd"/>
      <w:r w:rsidR="00640D73" w:rsidRPr="00306953">
        <w:t xml:space="preserve"> </w:t>
      </w:r>
      <w:r w:rsidR="00AE0053" w:rsidRPr="00306953">
        <w:t xml:space="preserve">rubric </w:t>
      </w:r>
      <w:r w:rsidR="00A56AC0">
        <w:t xml:space="preserve">still </w:t>
      </w:r>
      <w:r w:rsidR="00AE0053" w:rsidRPr="00306953">
        <w:t xml:space="preserve">did not reflect the </w:t>
      </w:r>
      <w:r w:rsidR="00640D73" w:rsidRPr="00306953">
        <w:t>experience</w:t>
      </w:r>
      <w:r w:rsidR="00AE0053" w:rsidRPr="00306953">
        <w:t xml:space="preserve"> of WCU students and </w:t>
      </w:r>
      <w:r w:rsidR="00A56AC0">
        <w:t xml:space="preserve">modified the </w:t>
      </w:r>
      <w:r w:rsidR="006973FF">
        <w:t xml:space="preserve">dimensions and </w:t>
      </w:r>
      <w:r w:rsidR="00785EDE">
        <w:t xml:space="preserve">simplified </w:t>
      </w:r>
      <w:r w:rsidR="006973FF">
        <w:t>the scale</w:t>
      </w:r>
      <w:r w:rsidR="00AE0053" w:rsidRPr="00306953">
        <w:t xml:space="preserve">.  </w:t>
      </w:r>
      <w:r w:rsidR="009B6776">
        <w:t xml:space="preserve">Using the new rubric, team members </w:t>
      </w:r>
      <w:r w:rsidR="00AE0053" w:rsidRPr="00306953">
        <w:t>scored the remaining artifacts</w:t>
      </w:r>
      <w:r w:rsidR="00785EDE">
        <w:t xml:space="preserve"> beginning at the sixth record and entered </w:t>
      </w:r>
      <w:r w:rsidR="00A56AC0">
        <w:t>their sco</w:t>
      </w:r>
      <w:r w:rsidR="00C142E7">
        <w:t>res in a</w:t>
      </w:r>
      <w:r w:rsidR="00CF5736">
        <w:t xml:space="preserve"> </w:t>
      </w:r>
      <w:proofErr w:type="spellStart"/>
      <w:r w:rsidR="00CF5736">
        <w:t>Qualtrics</w:t>
      </w:r>
      <w:proofErr w:type="spellEnd"/>
      <w:r w:rsidR="00CF5736">
        <w:t xml:space="preserve"> database. </w:t>
      </w:r>
      <w:r w:rsidR="00785EDE">
        <w:t>Instructors</w:t>
      </w:r>
      <w:r w:rsidR="00CF5736">
        <w:t xml:space="preserve"> did not score their </w:t>
      </w:r>
      <w:proofErr w:type="spellStart"/>
      <w:r w:rsidR="00CF5736">
        <w:t>on</w:t>
      </w:r>
      <w:proofErr w:type="spellEnd"/>
      <w:r w:rsidR="00CF5736">
        <w:t xml:space="preserve"> own artifacts</w:t>
      </w:r>
      <w:r w:rsidR="00785EDE">
        <w:t xml:space="preserve">.  After the scoring was complete the team </w:t>
      </w:r>
      <w:r w:rsidR="00785EDE" w:rsidRPr="00306953">
        <w:t>met a fina</w:t>
      </w:r>
      <w:r w:rsidR="00785EDE">
        <w:t xml:space="preserve">l time </w:t>
      </w:r>
      <w:r w:rsidR="00CF5736">
        <w:t>to discuss the results</w:t>
      </w:r>
      <w:r w:rsidR="00B42289">
        <w:t>.</w:t>
      </w:r>
      <w:r w:rsidR="00785EDE">
        <w:t xml:space="preserve">  </w:t>
      </w:r>
      <w:r w:rsidR="003E7A2B">
        <w:t xml:space="preserve">Participants were also invited to complete a </w:t>
      </w:r>
      <w:proofErr w:type="spellStart"/>
      <w:r w:rsidR="003E7A2B">
        <w:t>Qualtrics</w:t>
      </w:r>
      <w:proofErr w:type="spellEnd"/>
      <w:r w:rsidR="003E7A2B">
        <w:t xml:space="preserve"> survey evaluating their experience.  </w:t>
      </w:r>
    </w:p>
    <w:p w14:paraId="361CF1A4" w14:textId="77777777" w:rsidR="00640D73" w:rsidRPr="00306953" w:rsidRDefault="00640D73" w:rsidP="00E047FA"/>
    <w:p w14:paraId="6C381A9C" w14:textId="62779810" w:rsidR="00246BBB" w:rsidRDefault="006615CB" w:rsidP="00521D41">
      <w:pPr>
        <w:ind w:firstLine="720"/>
      </w:pPr>
      <w:r>
        <w:t>The following report</w:t>
      </w:r>
      <w:r w:rsidR="00246BBB">
        <w:t xml:space="preserve"> includes a </w:t>
      </w:r>
      <w:r w:rsidR="00AA356B">
        <w:t>summary of team discussions,</w:t>
      </w:r>
      <w:r w:rsidR="00246BBB">
        <w:t xml:space="preserve"> assessment results</w:t>
      </w:r>
      <w:r w:rsidR="00614E14">
        <w:t>, recommendations</w:t>
      </w:r>
      <w:r w:rsidR="00246BBB">
        <w:t xml:space="preserve"> and a copy of the revised rubric.</w:t>
      </w:r>
    </w:p>
    <w:p w14:paraId="26D82DA4" w14:textId="77777777" w:rsidR="00246BBB" w:rsidRDefault="00246BBB" w:rsidP="00521D41">
      <w:pPr>
        <w:ind w:firstLine="720"/>
      </w:pPr>
    </w:p>
    <w:p w14:paraId="35CF3690" w14:textId="342DB1A5" w:rsidR="00E047FA" w:rsidRPr="00ED1A9D" w:rsidRDefault="00521D41" w:rsidP="00E047FA">
      <w:pPr>
        <w:rPr>
          <w:b/>
        </w:rPr>
      </w:pPr>
      <w:r w:rsidRPr="00ED1A9D">
        <w:rPr>
          <w:b/>
        </w:rPr>
        <w:t xml:space="preserve">Summary of </w:t>
      </w:r>
      <w:r w:rsidR="00246BBB" w:rsidRPr="00ED1A9D">
        <w:rPr>
          <w:b/>
        </w:rPr>
        <w:t xml:space="preserve">Team </w:t>
      </w:r>
      <w:r w:rsidR="006615CB" w:rsidRPr="00ED1A9D">
        <w:rPr>
          <w:b/>
        </w:rPr>
        <w:t>Discussion</w:t>
      </w:r>
      <w:r w:rsidRPr="00ED1A9D">
        <w:rPr>
          <w:b/>
        </w:rPr>
        <w:t>s</w:t>
      </w:r>
    </w:p>
    <w:p w14:paraId="3065DAEF" w14:textId="77777777" w:rsidR="00B76FC5" w:rsidRDefault="00B76FC5" w:rsidP="00E047FA">
      <w:pPr>
        <w:rPr>
          <w:u w:val="single"/>
        </w:rPr>
      </w:pPr>
    </w:p>
    <w:p w14:paraId="4E8CE042" w14:textId="346566CC" w:rsidR="00B76FC5" w:rsidRPr="00B76FC5" w:rsidRDefault="00B76FC5" w:rsidP="00E047FA">
      <w:pPr>
        <w:rPr>
          <w:i/>
        </w:rPr>
      </w:pPr>
      <w:r>
        <w:rPr>
          <w:i/>
        </w:rPr>
        <w:t xml:space="preserve">First Meeting </w:t>
      </w:r>
    </w:p>
    <w:p w14:paraId="4BD52E5F" w14:textId="77777777" w:rsidR="00F61961" w:rsidRDefault="00F61961" w:rsidP="00E047FA">
      <w:pPr>
        <w:rPr>
          <w:u w:val="single"/>
        </w:rPr>
      </w:pPr>
    </w:p>
    <w:p w14:paraId="05030B13" w14:textId="18547AFE" w:rsidR="00E460D8" w:rsidRDefault="00565B18" w:rsidP="003F747F">
      <w:pPr>
        <w:ind w:firstLine="720"/>
      </w:pPr>
      <w:r>
        <w:t xml:space="preserve">The purpose of </w:t>
      </w:r>
      <w:r w:rsidR="00B76FC5">
        <w:t>this</w:t>
      </w:r>
      <w:r w:rsidR="00BB2BC9">
        <w:t xml:space="preserve"> meeting </w:t>
      </w:r>
      <w:r w:rsidR="001C4E6C">
        <w:t xml:space="preserve">was for team members </w:t>
      </w:r>
      <w:r w:rsidR="00BB2BC9">
        <w:t>to discuss</w:t>
      </w:r>
      <w:r w:rsidR="002E0EBD">
        <w:t xml:space="preserve"> the</w:t>
      </w:r>
      <w:r w:rsidR="00366A9B">
        <w:t>ir</w:t>
      </w:r>
      <w:r w:rsidR="00E80EDE">
        <w:t xml:space="preserve"> experience</w:t>
      </w:r>
      <w:r w:rsidR="00E460D8">
        <w:t xml:space="preserve"> </w:t>
      </w:r>
      <w:r w:rsidR="003F747F">
        <w:t xml:space="preserve">scoring </w:t>
      </w:r>
      <w:r w:rsidR="001C357C">
        <w:t>the first two artifacts</w:t>
      </w:r>
      <w:r w:rsidR="00FE6A0B">
        <w:t>.</w:t>
      </w:r>
      <w:r w:rsidR="00AF3299">
        <w:t xml:space="preserve"> </w:t>
      </w:r>
      <w:r w:rsidR="002A60EC">
        <w:t xml:space="preserve"> </w:t>
      </w:r>
      <w:r w:rsidR="003F747F">
        <w:t xml:space="preserve">Most team members submitted incomplete scores or no scores at all </w:t>
      </w:r>
      <w:r w:rsidR="00B4419F">
        <w:t>because they had</w:t>
      </w:r>
      <w:r w:rsidR="003F747F">
        <w:t xml:space="preserve"> </w:t>
      </w:r>
      <w:r w:rsidR="001C4E6C">
        <w:t xml:space="preserve">difficulty using </w:t>
      </w:r>
      <w:r w:rsidR="002A60EC">
        <w:t xml:space="preserve">the </w:t>
      </w:r>
      <w:proofErr w:type="spellStart"/>
      <w:r w:rsidR="002A60EC">
        <w:t>AACU</w:t>
      </w:r>
      <w:proofErr w:type="spellEnd"/>
      <w:r w:rsidR="002A60EC">
        <w:t xml:space="preserve"> rubric.  </w:t>
      </w:r>
      <w:r w:rsidR="001C4E6C">
        <w:t>E</w:t>
      </w:r>
      <w:r w:rsidR="00777D8F">
        <w:t xml:space="preserve">veryone </w:t>
      </w:r>
      <w:r w:rsidR="001C357C">
        <w:t xml:space="preserve">agreed </w:t>
      </w:r>
      <w:r w:rsidR="00AF3299">
        <w:t xml:space="preserve">that they enjoyed seeing </w:t>
      </w:r>
      <w:r w:rsidR="00FE6A0B">
        <w:t>what their colleagues were doing</w:t>
      </w:r>
      <w:r w:rsidR="008B78EE">
        <w:t xml:space="preserve"> in class</w:t>
      </w:r>
      <w:r w:rsidR="00B4419F">
        <w:t>, but</w:t>
      </w:r>
      <w:r w:rsidR="001C4E6C">
        <w:t xml:space="preserve"> </w:t>
      </w:r>
      <w:r w:rsidR="00FE6A0B">
        <w:t xml:space="preserve">the wide variety of </w:t>
      </w:r>
      <w:r w:rsidR="002A60EC">
        <w:t xml:space="preserve">disciplines </w:t>
      </w:r>
      <w:r w:rsidR="00C142E7">
        <w:t xml:space="preserve">and assignment types </w:t>
      </w:r>
      <w:r w:rsidR="00FE6A0B">
        <w:t xml:space="preserve">made it </w:t>
      </w:r>
      <w:r w:rsidR="00C142E7">
        <w:t>challenging</w:t>
      </w:r>
      <w:r w:rsidR="003F747F">
        <w:t xml:space="preserve"> </w:t>
      </w:r>
      <w:r w:rsidR="00FE6A0B">
        <w:t xml:space="preserve">to </w:t>
      </w:r>
      <w:r w:rsidR="002A60EC">
        <w:t xml:space="preserve">interpret </w:t>
      </w:r>
      <w:r w:rsidR="003F747F">
        <w:t xml:space="preserve">how the rubric related to </w:t>
      </w:r>
      <w:r w:rsidR="00C142E7">
        <w:t>each</w:t>
      </w:r>
      <w:r w:rsidR="002A60EC">
        <w:t xml:space="preserve">. </w:t>
      </w:r>
      <w:r w:rsidR="003F747F">
        <w:t xml:space="preserve"> </w:t>
      </w:r>
      <w:r w:rsidR="00C142E7">
        <w:t xml:space="preserve">Assignments included a mid-semester essay, a final exam question, a discussion board post and a photographic reflection.  </w:t>
      </w:r>
      <w:r w:rsidR="008D1671">
        <w:t xml:space="preserve">In response to this </w:t>
      </w:r>
      <w:r w:rsidR="00954CAF">
        <w:t>feedback</w:t>
      </w:r>
      <w:r w:rsidR="00784747">
        <w:t>,</w:t>
      </w:r>
      <w:r w:rsidR="008D1671">
        <w:t xml:space="preserve"> the </w:t>
      </w:r>
      <w:r w:rsidR="001C357C">
        <w:t xml:space="preserve">agenda </w:t>
      </w:r>
      <w:r w:rsidR="00B66F8E">
        <w:t xml:space="preserve">was </w:t>
      </w:r>
      <w:r w:rsidR="00A216C1">
        <w:t>modified</w:t>
      </w:r>
      <w:r w:rsidR="00B66F8E">
        <w:t xml:space="preserve"> </w:t>
      </w:r>
      <w:r w:rsidR="00A216C1">
        <w:t>to give</w:t>
      </w:r>
      <w:r w:rsidR="00E460D8">
        <w:t xml:space="preserve"> each team member </w:t>
      </w:r>
      <w:r w:rsidR="00954CAF">
        <w:lastRenderedPageBreak/>
        <w:t xml:space="preserve">an </w:t>
      </w:r>
      <w:r w:rsidR="00A216C1">
        <w:t>opportunity to</w:t>
      </w:r>
      <w:r w:rsidR="00E460D8">
        <w:t xml:space="preserve"> </w:t>
      </w:r>
      <w:r w:rsidR="008D1671">
        <w:t>explain</w:t>
      </w:r>
      <w:r w:rsidR="00AF3299">
        <w:t xml:space="preserve"> their assignment </w:t>
      </w:r>
      <w:r w:rsidR="00A216C1">
        <w:t>with respect to</w:t>
      </w:r>
      <w:r w:rsidR="00B66F8E">
        <w:t xml:space="preserve"> the rubric</w:t>
      </w:r>
      <w:r w:rsidR="00A216C1">
        <w:t xml:space="preserve"> dimensions</w:t>
      </w:r>
      <w:r w:rsidR="00E460D8">
        <w:t>.</w:t>
      </w:r>
      <w:r w:rsidR="001C357C">
        <w:t xml:space="preserve"> </w:t>
      </w:r>
      <w:r w:rsidR="003F747F">
        <w:t xml:space="preserve"> </w:t>
      </w:r>
      <w:r w:rsidR="00954CAF">
        <w:t>Team members concluded</w:t>
      </w:r>
      <w:r w:rsidR="00A216C1">
        <w:t xml:space="preserve"> that the “c</w:t>
      </w:r>
      <w:r w:rsidR="00E460D8">
        <w:t>onnection to</w:t>
      </w:r>
      <w:r w:rsidR="00A216C1">
        <w:t xml:space="preserve"> e</w:t>
      </w:r>
      <w:r w:rsidR="00C2553E">
        <w:t>xperience” rubric dimension was</w:t>
      </w:r>
      <w:r w:rsidR="00E460D8">
        <w:t xml:space="preserve"> </w:t>
      </w:r>
      <w:r w:rsidR="00C2553E">
        <w:t xml:space="preserve">particularly </w:t>
      </w:r>
      <w:r w:rsidR="00E460D8">
        <w:t>important</w:t>
      </w:r>
      <w:r w:rsidR="00C2553E">
        <w:t xml:space="preserve"> for interdisciplinary courses</w:t>
      </w:r>
      <w:r w:rsidR="00A216C1">
        <w:t xml:space="preserve"> and </w:t>
      </w:r>
      <w:r>
        <w:t>modified</w:t>
      </w:r>
      <w:r w:rsidR="00A216C1">
        <w:t xml:space="preserve"> the </w:t>
      </w:r>
      <w:r w:rsidR="00C2553E">
        <w:t xml:space="preserve">description </w:t>
      </w:r>
      <w:r w:rsidR="00545FC2">
        <w:t xml:space="preserve">to reflect the importance of making connections outside of one’s </w:t>
      </w:r>
      <w:r w:rsidR="00CE330F">
        <w:t>major</w:t>
      </w:r>
      <w:r w:rsidR="00545FC2">
        <w:t xml:space="preserve"> discipline.  </w:t>
      </w:r>
    </w:p>
    <w:p w14:paraId="4089A1E6" w14:textId="77777777" w:rsidR="00B76FC5" w:rsidRDefault="00B76FC5" w:rsidP="00AF3299"/>
    <w:p w14:paraId="7B14BC42" w14:textId="31256D83" w:rsidR="00B76FC5" w:rsidRPr="00B76FC5" w:rsidRDefault="00B76FC5" w:rsidP="00AF3299">
      <w:pPr>
        <w:rPr>
          <w:i/>
        </w:rPr>
      </w:pPr>
      <w:r w:rsidRPr="00B76FC5">
        <w:rPr>
          <w:i/>
        </w:rPr>
        <w:t>Second Meeting</w:t>
      </w:r>
    </w:p>
    <w:p w14:paraId="4E876B69" w14:textId="77777777" w:rsidR="00E34AC1" w:rsidRDefault="00E34AC1" w:rsidP="00E34AC1">
      <w:pPr>
        <w:rPr>
          <w:i/>
        </w:rPr>
      </w:pPr>
    </w:p>
    <w:p w14:paraId="2B16D6DC" w14:textId="357CF020" w:rsidR="005A116D" w:rsidRPr="0089696F" w:rsidRDefault="00DC4F60" w:rsidP="008B3324">
      <w:pPr>
        <w:ind w:firstLine="720"/>
      </w:pPr>
      <w:r>
        <w:t xml:space="preserve">The team </w:t>
      </w:r>
      <w:r w:rsidR="00565B18">
        <w:t>met a week later</w:t>
      </w:r>
      <w:r w:rsidR="007C61AF">
        <w:t xml:space="preserve"> to </w:t>
      </w:r>
      <w:r w:rsidR="00CD4408">
        <w:t xml:space="preserve">review scores and </w:t>
      </w:r>
      <w:r w:rsidR="007C61AF">
        <w:t>discuss the</w:t>
      </w:r>
      <w:r>
        <w:t xml:space="preserve"> experience</w:t>
      </w:r>
      <w:r w:rsidR="007E2217">
        <w:t xml:space="preserve"> </w:t>
      </w:r>
      <w:r w:rsidR="00886982">
        <w:t xml:space="preserve">of </w:t>
      </w:r>
      <w:r w:rsidR="00CD4408">
        <w:t>evaluating</w:t>
      </w:r>
      <w:r w:rsidR="00475F9C">
        <w:t xml:space="preserve"> </w:t>
      </w:r>
      <w:r w:rsidR="006D73DD">
        <w:t xml:space="preserve">the first </w:t>
      </w:r>
      <w:r w:rsidR="00475F9C">
        <w:t>five artifacts</w:t>
      </w:r>
      <w:r w:rsidR="00784747">
        <w:t xml:space="preserve"> using the revised rubric.</w:t>
      </w:r>
      <w:r w:rsidR="007C61AF">
        <w:t xml:space="preserve"> </w:t>
      </w:r>
      <w:r w:rsidR="006D73DD">
        <w:t xml:space="preserve"> </w:t>
      </w:r>
      <w:r w:rsidR="00AD773D">
        <w:t>Again, the</w:t>
      </w:r>
      <w:r w:rsidR="00CD4408">
        <w:t xml:space="preserve"> scores were incomplete because </w:t>
      </w:r>
      <w:r w:rsidR="00AD773D">
        <w:t>i</w:t>
      </w:r>
      <w:r w:rsidR="002A0EEB">
        <w:t>nstructors</w:t>
      </w:r>
      <w:r w:rsidR="00565B18">
        <w:t xml:space="preserve"> </w:t>
      </w:r>
      <w:r w:rsidR="00BF6F10">
        <w:t>continued to have difficulty</w:t>
      </w:r>
      <w:r w:rsidR="00174618">
        <w:t xml:space="preserve"> </w:t>
      </w:r>
      <w:r w:rsidR="00BF6F10">
        <w:t xml:space="preserve">using </w:t>
      </w:r>
      <w:r w:rsidR="006D73DD">
        <w:t xml:space="preserve">the </w:t>
      </w:r>
      <w:r w:rsidR="00AD773D">
        <w:t xml:space="preserve">rubric. </w:t>
      </w:r>
      <w:r w:rsidR="006D73DD">
        <w:t xml:space="preserve"> </w:t>
      </w:r>
      <w:r w:rsidR="00CD4408">
        <w:t>In particular</w:t>
      </w:r>
      <w:r w:rsidR="007E2217">
        <w:t xml:space="preserve">, </w:t>
      </w:r>
      <w:r w:rsidR="006D73DD">
        <w:t xml:space="preserve">they were </w:t>
      </w:r>
      <w:r w:rsidR="00AD773D">
        <w:t xml:space="preserve">still </w:t>
      </w:r>
      <w:r w:rsidR="006D73DD">
        <w:t>unable to</w:t>
      </w:r>
      <w:r w:rsidR="000D1DD7">
        <w:t xml:space="preserve"> identify </w:t>
      </w:r>
      <w:r w:rsidR="00545FC2">
        <w:t xml:space="preserve">the </w:t>
      </w:r>
      <w:r w:rsidR="00C4104C">
        <w:t xml:space="preserve">specific </w:t>
      </w:r>
      <w:r w:rsidR="007E2217">
        <w:t xml:space="preserve">assignment </w:t>
      </w:r>
      <w:r w:rsidR="00F74E3B">
        <w:t>content</w:t>
      </w:r>
      <w:r w:rsidR="007E2217">
        <w:t xml:space="preserve"> required for students</w:t>
      </w:r>
      <w:r w:rsidR="005A116D">
        <w:t xml:space="preserve"> to demonstrate </w:t>
      </w:r>
      <w:r w:rsidR="007E2217">
        <w:t>proficiency in each rubric dimension</w:t>
      </w:r>
      <w:r w:rsidR="005A116D">
        <w:t xml:space="preserve">. </w:t>
      </w:r>
      <w:r w:rsidR="00AD773D">
        <w:t xml:space="preserve"> </w:t>
      </w:r>
      <w:r w:rsidR="007E2217">
        <w:t>However, e</w:t>
      </w:r>
      <w:r w:rsidR="000D1DD7">
        <w:t xml:space="preserve">veryone agreed that </w:t>
      </w:r>
      <w:r w:rsidR="00574FBF">
        <w:t xml:space="preserve">interdisciplinary </w:t>
      </w:r>
      <w:r w:rsidR="00F74E3B">
        <w:t>competency</w:t>
      </w:r>
      <w:r w:rsidR="00574FBF">
        <w:t xml:space="preserve"> was not </w:t>
      </w:r>
      <w:r w:rsidR="00F74E3B">
        <w:t xml:space="preserve">simply </w:t>
      </w:r>
      <w:r w:rsidR="00721B50">
        <w:t>naming</w:t>
      </w:r>
      <w:r w:rsidR="00F74E3B">
        <w:t xml:space="preserve"> concepts or ideas from </w:t>
      </w:r>
      <w:r w:rsidR="00574FBF">
        <w:t>other disciplines</w:t>
      </w:r>
      <w:r w:rsidR="00F74E3B">
        <w:t>,</w:t>
      </w:r>
      <w:r w:rsidR="00574FBF">
        <w:t xml:space="preserve"> but rather </w:t>
      </w:r>
      <w:r w:rsidR="00F74E3B">
        <w:t xml:space="preserve">analyzing issues or solving problems </w:t>
      </w:r>
      <w:r w:rsidR="00AD773D">
        <w:t xml:space="preserve">using perspectives </w:t>
      </w:r>
      <w:r w:rsidR="00EE4A06">
        <w:t xml:space="preserve">from </w:t>
      </w:r>
      <w:r w:rsidR="00F74E3B">
        <w:t>multiple disci</w:t>
      </w:r>
      <w:r w:rsidR="00AD773D">
        <w:t>plines</w:t>
      </w:r>
      <w:r w:rsidR="00545FC2">
        <w:t xml:space="preserve">. </w:t>
      </w:r>
      <w:r w:rsidR="005A116D">
        <w:t>The team also discussed whether students themselves know what it means for a class to be int</w:t>
      </w:r>
      <w:r w:rsidR="00AD773D">
        <w:t xml:space="preserve">erdisciplinary and </w:t>
      </w:r>
      <w:r w:rsidR="00886982">
        <w:t>if</w:t>
      </w:r>
      <w:r w:rsidR="00AD773D">
        <w:t xml:space="preserve"> students </w:t>
      </w:r>
      <w:r w:rsidR="00886982">
        <w:t xml:space="preserve">realize </w:t>
      </w:r>
      <w:r w:rsidR="005A116D">
        <w:t xml:space="preserve">they are doing interdisciplinary work. </w:t>
      </w:r>
      <w:r w:rsidR="00104415">
        <w:t xml:space="preserve"> </w:t>
      </w:r>
      <w:r w:rsidR="008B3324">
        <w:t xml:space="preserve">A team member suggested creating </w:t>
      </w:r>
      <w:r w:rsidR="005A116D" w:rsidRPr="0089696F">
        <w:t xml:space="preserve">a common syllabus statement about what it means for a class to be </w:t>
      </w:r>
      <w:r w:rsidR="00411213" w:rsidRPr="0089696F">
        <w:t xml:space="preserve">designated as </w:t>
      </w:r>
      <w:r w:rsidR="005A116D" w:rsidRPr="0089696F">
        <w:t xml:space="preserve">interdisciplinary.  </w:t>
      </w:r>
    </w:p>
    <w:p w14:paraId="263D8CA7" w14:textId="77777777" w:rsidR="005A116D" w:rsidRDefault="005A116D" w:rsidP="005A116D"/>
    <w:p w14:paraId="371FCEEE" w14:textId="733F6E7F" w:rsidR="00551B69" w:rsidRPr="00CF2AF8" w:rsidRDefault="00BE0FCD" w:rsidP="00551B69">
      <w:pPr>
        <w:ind w:firstLine="720"/>
        <w:rPr>
          <w:rFonts w:ascii="Calibri" w:eastAsia="Times New Roman" w:hAnsi="Calibri" w:cs="Calibri"/>
          <w:color w:val="000000" w:themeColor="text1"/>
          <w:shd w:val="clear" w:color="auto" w:fill="FFFFFF"/>
        </w:rPr>
      </w:pPr>
      <w:r>
        <w:t xml:space="preserve">Team members also </w:t>
      </w:r>
      <w:r w:rsidR="00251BA0">
        <w:t xml:space="preserve">commented that </w:t>
      </w:r>
      <w:r w:rsidR="00FE3C7F">
        <w:t xml:space="preserve">the </w:t>
      </w:r>
      <w:proofErr w:type="spellStart"/>
      <w:r>
        <w:t>AACU</w:t>
      </w:r>
      <w:proofErr w:type="spellEnd"/>
      <w:r>
        <w:t xml:space="preserve"> rubric, even with modifications, did not</w:t>
      </w:r>
      <w:r w:rsidR="00A70C06">
        <w:t xml:space="preserve"> </w:t>
      </w:r>
      <w:r>
        <w:t>reflect</w:t>
      </w:r>
      <w:r w:rsidR="001C357C">
        <w:t xml:space="preserve"> the</w:t>
      </w:r>
      <w:r w:rsidR="00574FBF">
        <w:t xml:space="preserve"> experience of WCU students. </w:t>
      </w:r>
      <w:r>
        <w:t>In particular,</w:t>
      </w:r>
      <w:r w:rsidR="001C357C">
        <w:t xml:space="preserve"> </w:t>
      </w:r>
      <w:r>
        <w:t xml:space="preserve">they </w:t>
      </w:r>
      <w:r w:rsidR="00804D19">
        <w:t>indicated</w:t>
      </w:r>
      <w:r w:rsidR="001C357C">
        <w:t xml:space="preserve"> that </w:t>
      </w:r>
      <w:r w:rsidR="005A116D">
        <w:t>they could not score</w:t>
      </w:r>
      <w:r>
        <w:t xml:space="preserve"> </w:t>
      </w:r>
      <w:r w:rsidR="00605243">
        <w:t xml:space="preserve">most </w:t>
      </w:r>
      <w:r w:rsidR="005A116D">
        <w:t xml:space="preserve">artifacts </w:t>
      </w:r>
      <w:r w:rsidR="006E3E39">
        <w:t>higher than a</w:t>
      </w:r>
      <w:r>
        <w:t xml:space="preserve"> one or a two</w:t>
      </w:r>
      <w:r w:rsidR="00A70C06">
        <w:t xml:space="preserve"> because </w:t>
      </w:r>
      <w:r w:rsidR="006075BC">
        <w:t>students seem</w:t>
      </w:r>
      <w:r w:rsidR="00605243">
        <w:t>ed</w:t>
      </w:r>
      <w:r w:rsidR="00A70C06">
        <w:t xml:space="preserve"> to struggle with</w:t>
      </w:r>
      <w:r w:rsidR="006E3E39">
        <w:t xml:space="preserve"> making</w:t>
      </w:r>
      <w:r w:rsidR="00A70C06">
        <w:t xml:space="preserve"> higher-order connections</w:t>
      </w:r>
      <w:r w:rsidR="006E3E39">
        <w:t xml:space="preserve"> in their written work. </w:t>
      </w:r>
      <w:r w:rsidR="00551B69">
        <w:t xml:space="preserve"> They also expressed concern about whether students were simply saying the right words or regurgitating information instead of making real connections and “getting it.” However, one instructor pointed out that WCU students do make these connections in classroom discussions.  In subsequent meetings, </w:t>
      </w:r>
      <w:r w:rsidR="00551B69" w:rsidRPr="00CF2AF8">
        <w:rPr>
          <w:rFonts w:ascii="Calibri" w:eastAsia="Times New Roman" w:hAnsi="Calibri" w:cs="Calibri"/>
          <w:color w:val="000000" w:themeColor="text1"/>
          <w:shd w:val="clear" w:color="auto" w:fill="FFFFFF"/>
        </w:rPr>
        <w:t>the team discussed why this was the case and concluded that it was a combination of student ability and course content, especially the tension that exists when classes serve multiple purposes in the curriculum.  The earth science class in the sample was the only one that was solely an “I” class and the syllabus was centered on a taking a “systems thinking” approach.  Thus, the course content was explicitly interdisciplinary.  The recommendation about the “I” sequence of classes was a direct result of the discussions about the ability of our students. </w:t>
      </w:r>
    </w:p>
    <w:p w14:paraId="069F7C6F" w14:textId="2F756C11" w:rsidR="00551B69" w:rsidRDefault="00551B69" w:rsidP="00551B69">
      <w:pPr>
        <w:ind w:firstLine="720"/>
        <w:rPr>
          <w:rFonts w:ascii="Calibri" w:eastAsia="Times New Roman" w:hAnsi="Calibri" w:cs="Calibri"/>
          <w:color w:val="0070C0"/>
          <w:shd w:val="clear" w:color="auto" w:fill="FFFFFF"/>
        </w:rPr>
      </w:pPr>
    </w:p>
    <w:p w14:paraId="46BF956D" w14:textId="11178AAF" w:rsidR="00551B69" w:rsidRPr="00CF2AF8" w:rsidRDefault="00551B69" w:rsidP="001072E5">
      <w:pPr>
        <w:ind w:firstLine="720"/>
        <w:rPr>
          <w:rFonts w:ascii="Calibri" w:eastAsia="Times New Roman" w:hAnsi="Calibri" w:cs="Calibri"/>
          <w:color w:val="000000" w:themeColor="text1"/>
          <w:shd w:val="clear" w:color="auto" w:fill="FFFFFF"/>
        </w:rPr>
      </w:pPr>
      <w:r w:rsidRPr="00CF2AF8">
        <w:rPr>
          <w:rFonts w:ascii="Calibri" w:eastAsia="Times New Roman" w:hAnsi="Calibri" w:cs="Calibri"/>
          <w:color w:val="000000" w:themeColor="text1"/>
          <w:shd w:val="clear" w:color="auto" w:fill="FFFFFF"/>
        </w:rPr>
        <w:t>Another observation is that the students’ ability may also be dependent on the level of the course (100 versus 300) and also that many “I” classes have students in them ranging from first year to seniors.  One recommendation was to do the pre- and post- survey of “I” thinking the first semester students are admitted and the last semester they attend.  This would be a way of assessing “I” that was separate from “I” classes. If this is a competency we expect students to have, then team members suggested that it should not be assessed in a single class but rather across the curriculum.</w:t>
      </w:r>
    </w:p>
    <w:p w14:paraId="56704AC3" w14:textId="77777777" w:rsidR="005A116D" w:rsidRDefault="005A116D" w:rsidP="006075BC"/>
    <w:p w14:paraId="622F254D" w14:textId="56F3A1F1" w:rsidR="00A70C06" w:rsidRDefault="00A70C06" w:rsidP="000C5FE2">
      <w:pPr>
        <w:ind w:firstLine="720"/>
      </w:pPr>
      <w:r>
        <w:t xml:space="preserve">The team agreed that the rubric </w:t>
      </w:r>
      <w:r w:rsidR="00ED5893">
        <w:t xml:space="preserve">needed to be </w:t>
      </w:r>
      <w:r w:rsidR="00AD773D">
        <w:t xml:space="preserve">overhauled </w:t>
      </w:r>
      <w:r w:rsidR="000C5FE2">
        <w:t>to reflect the experience of WCU students a</w:t>
      </w:r>
      <w:r w:rsidR="00BF6F10">
        <w:t xml:space="preserve">nd to be easy for </w:t>
      </w:r>
      <w:r w:rsidR="000C5FE2">
        <w:t xml:space="preserve">faculty to </w:t>
      </w:r>
      <w:r w:rsidR="00ED5893">
        <w:t>use.</w:t>
      </w:r>
      <w:r w:rsidR="00B2154D">
        <w:t xml:space="preserve"> Thus, the rubric was </w:t>
      </w:r>
      <w:r w:rsidR="00251BA0">
        <w:t>simplified</w:t>
      </w:r>
      <w:r>
        <w:t xml:space="preserve"> </w:t>
      </w:r>
      <w:r w:rsidR="00251BA0">
        <w:t xml:space="preserve">to </w:t>
      </w:r>
      <w:r w:rsidR="00B2154D">
        <w:t xml:space="preserve">four </w:t>
      </w:r>
      <w:r>
        <w:t>common be</w:t>
      </w:r>
      <w:r w:rsidR="00ED5893">
        <w:t>nchmarks of inter</w:t>
      </w:r>
      <w:r w:rsidR="00251BA0">
        <w:t>disciplinary competency that would be</w:t>
      </w:r>
      <w:r w:rsidR="00ED5893">
        <w:t xml:space="preserve"> applicable to any WCU “I” </w:t>
      </w:r>
      <w:r>
        <w:t>class regardless</w:t>
      </w:r>
      <w:r w:rsidR="00ED5893">
        <w:t xml:space="preserve"> of discipline or assignment</w:t>
      </w:r>
      <w:r w:rsidR="00B2154D">
        <w:t>:</w:t>
      </w:r>
      <w:r>
        <w:t xml:space="preserve"> connection to ex</w:t>
      </w:r>
      <w:r w:rsidR="00ED5893">
        <w:t>perience; transfer of knowledge;</w:t>
      </w:r>
      <w:r>
        <w:t xml:space="preserve"> </w:t>
      </w:r>
      <w:r>
        <w:lastRenderedPageBreak/>
        <w:t>expression of knowledge; and self-reflection</w:t>
      </w:r>
      <w:r w:rsidR="00ED5893">
        <w:t xml:space="preserve"> </w:t>
      </w:r>
      <w:r>
        <w:t>and transformation.</w:t>
      </w:r>
      <w:r w:rsidR="00ED5893">
        <w:t xml:space="preserve"> In addition, </w:t>
      </w:r>
      <w:r w:rsidR="00B2154D">
        <w:t>the scale was</w:t>
      </w:r>
      <w:r w:rsidR="00ED5893">
        <w:t xml:space="preserve"> </w:t>
      </w:r>
      <w:r w:rsidR="00B2154D">
        <w:t>changed from holistic (i.e. descriptive) to analytic (i.e., categorical) in which artifacts are evaluated for whether they do not meet, mee</w:t>
      </w:r>
      <w:r w:rsidR="00540DBC">
        <w:t xml:space="preserve">t or exceed expectations.  </w:t>
      </w:r>
      <w:r w:rsidR="008861D5">
        <w:t>Most</w:t>
      </w:r>
      <w:r w:rsidR="00D430C9">
        <w:t xml:space="preserve"> </w:t>
      </w:r>
      <w:r w:rsidR="00955F42">
        <w:t xml:space="preserve">team members </w:t>
      </w:r>
      <w:r w:rsidR="00D430C9">
        <w:t xml:space="preserve">were more </w:t>
      </w:r>
      <w:r w:rsidR="00955F42">
        <w:t xml:space="preserve">familiar with </w:t>
      </w:r>
      <w:r w:rsidR="008861D5">
        <w:t>analytic rubrics</w:t>
      </w:r>
      <w:r w:rsidR="00B2154D">
        <w:t xml:space="preserve"> </w:t>
      </w:r>
      <w:r w:rsidR="00955F42">
        <w:t xml:space="preserve">because they are </w:t>
      </w:r>
      <w:r w:rsidR="00D430C9">
        <w:t xml:space="preserve">used </w:t>
      </w:r>
      <w:r w:rsidR="00955F42">
        <w:t>in their departmental</w:t>
      </w:r>
      <w:r w:rsidR="00B2154D">
        <w:t xml:space="preserve"> assurance of learning processes.  </w:t>
      </w:r>
      <w:r w:rsidR="00BF6F10">
        <w:t xml:space="preserve">In addition, they felt that this type of rubric would be easier to use to evaluate “I” artifacts outside their home </w:t>
      </w:r>
      <w:r w:rsidR="00E2007B">
        <w:t>disciplines</w:t>
      </w:r>
      <w:r w:rsidR="00BF6F10">
        <w:t xml:space="preserve">.  </w:t>
      </w:r>
    </w:p>
    <w:p w14:paraId="5B988EB0" w14:textId="06A6E49C" w:rsidR="0030127E" w:rsidRDefault="0030127E" w:rsidP="000C5FE2">
      <w:pPr>
        <w:ind w:firstLine="720"/>
      </w:pPr>
    </w:p>
    <w:p w14:paraId="5FEF5C23" w14:textId="252C3695" w:rsidR="0030127E" w:rsidRPr="0030127E" w:rsidRDefault="0030127E" w:rsidP="0030127E">
      <w:pPr>
        <w:ind w:firstLine="720"/>
      </w:pPr>
      <w:r w:rsidRPr="0030127E">
        <w:t xml:space="preserve">The </w:t>
      </w:r>
      <w:r w:rsidR="00CF2AF8">
        <w:t>new rubric</w:t>
      </w:r>
      <w:r w:rsidRPr="0030127E">
        <w:t xml:space="preserve"> still </w:t>
      </w:r>
      <w:r w:rsidR="00CF2AF8">
        <w:t>uses a</w:t>
      </w:r>
      <w:r w:rsidRPr="0030127E">
        <w:t xml:space="preserve"> Likert scale with ratings that roughly correspond to the </w:t>
      </w:r>
      <w:proofErr w:type="spellStart"/>
      <w:r w:rsidRPr="0030127E">
        <w:t>AACU</w:t>
      </w:r>
      <w:proofErr w:type="spellEnd"/>
      <w:r w:rsidRPr="0030127E">
        <w:t xml:space="preserve"> ratings (i.e., benchmark, etc.).  Because the application of the rubric was highly specific to each assignment per two rounds of discussions, the criteria was simplified to whether or not the students met, did not meet or exceeded the criteria.  The decision to simplify was made by the committee because so much of the discussion of scoring focused on how the specific descriptions in </w:t>
      </w:r>
      <w:proofErr w:type="spellStart"/>
      <w:r w:rsidRPr="0030127E">
        <w:t>AACU</w:t>
      </w:r>
      <w:proofErr w:type="spellEnd"/>
      <w:r w:rsidRPr="0030127E">
        <w:t xml:space="preserve"> scale did not apply to the artifacts and </w:t>
      </w:r>
      <w:r w:rsidR="00CF2AF8">
        <w:t>team members</w:t>
      </w:r>
      <w:r w:rsidRPr="0030127E">
        <w:t xml:space="preserve"> were leaving the values blank.  We tried to </w:t>
      </w:r>
      <w:r w:rsidR="00CF2AF8">
        <w:t xml:space="preserve">modify </w:t>
      </w:r>
      <w:r w:rsidRPr="0030127E">
        <w:t>the first dimension and the same thing happened</w:t>
      </w:r>
      <w:r w:rsidR="00CF2AF8">
        <w:t xml:space="preserve"> with values left blank</w:t>
      </w:r>
      <w:r w:rsidRPr="0030127E">
        <w:t>.  Thus, the team thought collapsing and simplifying the dimensions would help.  They ultimately thought that if we were going to use a rubric to assess “I” that it should be something that worked in any class with any type of artifact.</w:t>
      </w:r>
    </w:p>
    <w:p w14:paraId="1AD19A08" w14:textId="5DD6E291" w:rsidR="00621468" w:rsidRDefault="0030127E" w:rsidP="00CF2AF8">
      <w:pPr>
        <w:ind w:firstLine="720"/>
      </w:pPr>
      <w:r w:rsidRPr="0030127E">
        <w:t> </w:t>
      </w:r>
    </w:p>
    <w:p w14:paraId="0FBB2D9D" w14:textId="03E7066C" w:rsidR="00621468" w:rsidRPr="003E0062" w:rsidRDefault="00621468" w:rsidP="00621468">
      <w:pPr>
        <w:rPr>
          <w:i/>
        </w:rPr>
      </w:pPr>
      <w:r w:rsidRPr="003E0062">
        <w:rPr>
          <w:i/>
        </w:rPr>
        <w:t>Third Meeting</w:t>
      </w:r>
    </w:p>
    <w:p w14:paraId="696D1058" w14:textId="77777777" w:rsidR="00E047FA" w:rsidRDefault="00E047FA" w:rsidP="00E047FA"/>
    <w:p w14:paraId="5DC69AF2" w14:textId="1615101C" w:rsidR="009C1EBE" w:rsidRDefault="003E18B9" w:rsidP="00174618">
      <w:pPr>
        <w:ind w:firstLine="720"/>
      </w:pPr>
      <w:r>
        <w:t>The original aim</w:t>
      </w:r>
      <w:r w:rsidR="00546320">
        <w:t xml:space="preserve"> of this meeting was to discuss</w:t>
      </w:r>
      <w:r w:rsidR="000C316C">
        <w:t xml:space="preserve"> the assessment results, </w:t>
      </w:r>
      <w:r w:rsidR="00174618">
        <w:t xml:space="preserve">but </w:t>
      </w:r>
      <w:r w:rsidR="000C316C">
        <w:t xml:space="preserve">the </w:t>
      </w:r>
      <w:r w:rsidR="00546320">
        <w:t xml:space="preserve">discussion </w:t>
      </w:r>
      <w:r w:rsidR="000C5FE2">
        <w:t xml:space="preserve">immediately took a </w:t>
      </w:r>
      <w:r w:rsidR="00546320">
        <w:t>philosophical turn</w:t>
      </w:r>
      <w:r>
        <w:t xml:space="preserve"> </w:t>
      </w:r>
      <w:r w:rsidR="009C1EBE">
        <w:t xml:space="preserve">when </w:t>
      </w:r>
      <w:r w:rsidR="000C5FE2">
        <w:t xml:space="preserve">a </w:t>
      </w:r>
      <w:r w:rsidR="00862EB4">
        <w:t xml:space="preserve">team </w:t>
      </w:r>
      <w:r w:rsidR="000C5FE2">
        <w:t xml:space="preserve">member pointed out that </w:t>
      </w:r>
      <w:r w:rsidR="00BF6F10">
        <w:t xml:space="preserve">interdisciplinary content is difficult to access because some “I” courses </w:t>
      </w:r>
      <w:r>
        <w:t xml:space="preserve">serve multiple purposes in the curriculum.  </w:t>
      </w:r>
      <w:r w:rsidR="00546320">
        <w:t xml:space="preserve">For example, </w:t>
      </w:r>
      <w:proofErr w:type="spellStart"/>
      <w:r w:rsidR="00220A24">
        <w:t>WOS</w:t>
      </w:r>
      <w:proofErr w:type="spellEnd"/>
      <w:r>
        <w:t xml:space="preserve"> 225 is a core class for the Women and Gender Studies major</w:t>
      </w:r>
      <w:r w:rsidR="00220A24">
        <w:t xml:space="preserve"> as well as an </w:t>
      </w:r>
      <w:r>
        <w:t xml:space="preserve">interdisciplinary, diversity and writing intensive class. </w:t>
      </w:r>
      <w:proofErr w:type="spellStart"/>
      <w:r w:rsidR="00546320">
        <w:t>PHL</w:t>
      </w:r>
      <w:proofErr w:type="spellEnd"/>
      <w:r>
        <w:t xml:space="preserve"> </w:t>
      </w:r>
      <w:r w:rsidR="00546320">
        <w:t xml:space="preserve">108 and </w:t>
      </w:r>
      <w:proofErr w:type="spellStart"/>
      <w:r w:rsidR="00546320">
        <w:t>CRJ</w:t>
      </w:r>
      <w:proofErr w:type="spellEnd"/>
      <w:r>
        <w:t xml:space="preserve"> </w:t>
      </w:r>
      <w:r w:rsidR="00546320">
        <w:t xml:space="preserve">335 </w:t>
      </w:r>
      <w:r w:rsidR="00220A24">
        <w:t>are electives for the</w:t>
      </w:r>
      <w:r>
        <w:t>ir respective</w:t>
      </w:r>
      <w:r w:rsidR="00220A24">
        <w:t xml:space="preserve"> major</w:t>
      </w:r>
      <w:r>
        <w:t>s</w:t>
      </w:r>
      <w:r w:rsidR="00220A24">
        <w:t xml:space="preserve"> as well as an </w:t>
      </w:r>
      <w:r w:rsidR="009C1EBE">
        <w:t>“</w:t>
      </w:r>
      <w:r w:rsidR="00220A24">
        <w:t>I</w:t>
      </w:r>
      <w:r w:rsidR="009C1EBE">
        <w:t>”</w:t>
      </w:r>
      <w:r w:rsidR="00220A24">
        <w:t xml:space="preserve"> and </w:t>
      </w:r>
      <w:r w:rsidR="009C1EBE">
        <w:t>“</w:t>
      </w:r>
      <w:r w:rsidR="00220A24">
        <w:t>W</w:t>
      </w:r>
      <w:r w:rsidR="009C1EBE">
        <w:t>”</w:t>
      </w:r>
      <w:r w:rsidR="00220A24">
        <w:t xml:space="preserve"> classes. </w:t>
      </w:r>
      <w:r>
        <w:t xml:space="preserve"> </w:t>
      </w:r>
      <w:r w:rsidR="00220A24">
        <w:t xml:space="preserve">ESS101 was the only class </w:t>
      </w:r>
      <w:r w:rsidR="00862EB4">
        <w:t xml:space="preserve">represented in the sample </w:t>
      </w:r>
      <w:r w:rsidR="00220A24">
        <w:t>that was purely interdisc</w:t>
      </w:r>
      <w:r w:rsidR="00546320">
        <w:t>iplin</w:t>
      </w:r>
      <w:r w:rsidR="00220A24">
        <w:t xml:space="preserve">ary and not </w:t>
      </w:r>
      <w:r>
        <w:t xml:space="preserve">a </w:t>
      </w:r>
      <w:r w:rsidR="00220A24">
        <w:t>required</w:t>
      </w:r>
      <w:r>
        <w:t xml:space="preserve"> or elective class for a major</w:t>
      </w:r>
      <w:r w:rsidR="00220A24">
        <w:t xml:space="preserve">. </w:t>
      </w:r>
      <w:r>
        <w:t xml:space="preserve">Given the need to cover multiple general education and major goals in many “I” classes and the mix of students taking them for different reasons, </w:t>
      </w:r>
      <w:r w:rsidR="009C1EBE">
        <w:t xml:space="preserve">the challenge for faculty is how to keep the interdisciplinary focus front and center while balancing the need to cover discipline-specific knowledge.  One team member noted that </w:t>
      </w:r>
      <w:proofErr w:type="spellStart"/>
      <w:r w:rsidR="00220A24">
        <w:t>CAPC’s</w:t>
      </w:r>
      <w:proofErr w:type="spellEnd"/>
      <w:r w:rsidR="00220A24">
        <w:t xml:space="preserve"> general education handbook </w:t>
      </w:r>
      <w:r w:rsidR="009C1EBE">
        <w:t xml:space="preserve">provided helpful guidance on crafting an interdisciplinary syllabus.   </w:t>
      </w:r>
    </w:p>
    <w:p w14:paraId="7A9E3C04" w14:textId="5EF46369" w:rsidR="00220A24" w:rsidRDefault="00220A24" w:rsidP="00E047FA"/>
    <w:p w14:paraId="615F7153" w14:textId="12ABFFE2" w:rsidR="00385B46" w:rsidRDefault="00CE01B1" w:rsidP="0089696F">
      <w:pPr>
        <w:ind w:firstLine="720"/>
      </w:pPr>
      <w:r>
        <w:t>Team members also expressed concern about</w:t>
      </w:r>
      <w:r w:rsidR="00385B46">
        <w:t xml:space="preserve"> whether evaluating artifacts from individual “I” classes </w:t>
      </w:r>
      <w:r>
        <w:t>using</w:t>
      </w:r>
      <w:r w:rsidR="00385B46">
        <w:t xml:space="preserve"> a rubric</w:t>
      </w:r>
      <w:r>
        <w:t xml:space="preserve"> </w:t>
      </w:r>
      <w:r w:rsidR="00385B46">
        <w:t>is the m</w:t>
      </w:r>
      <w:r>
        <w:t xml:space="preserve">ost effective way to assess </w:t>
      </w:r>
      <w:r w:rsidR="00385B46">
        <w:t xml:space="preserve">interdisciplinary competency. </w:t>
      </w:r>
      <w:r>
        <w:t xml:space="preserve"> </w:t>
      </w:r>
      <w:r w:rsidR="00862EB4">
        <w:t xml:space="preserve">Team members agreed that the </w:t>
      </w:r>
      <w:r w:rsidR="00385B46">
        <w:t xml:space="preserve">ultimate </w:t>
      </w:r>
      <w:r w:rsidR="00862EB4">
        <w:t xml:space="preserve">goal of </w:t>
      </w:r>
      <w:r w:rsidR="009344A0">
        <w:t xml:space="preserve">all </w:t>
      </w:r>
      <w:r w:rsidR="00862EB4">
        <w:t xml:space="preserve">“I” classes </w:t>
      </w:r>
      <w:r w:rsidR="00385B46">
        <w:t>is</w:t>
      </w:r>
      <w:r w:rsidR="00862EB4">
        <w:t xml:space="preserve"> changing the way students think about the world. </w:t>
      </w:r>
      <w:r w:rsidR="00385B46">
        <w:t xml:space="preserve"> Instructors described this phenomenon as “students learning to speak a language outside their home discipline and using it to dig deeper” and “bringing in a person with a history and past experience, shaking them up a little and sending them out into the world with a new perspective.” </w:t>
      </w:r>
      <w:r w:rsidR="00862EB4">
        <w:t xml:space="preserve">Thus, the goal of assessment should be measuring a change in the way students think. </w:t>
      </w:r>
    </w:p>
    <w:p w14:paraId="6D50230C" w14:textId="77777777" w:rsidR="00385B46" w:rsidRDefault="00385B46" w:rsidP="00E047FA"/>
    <w:p w14:paraId="6DBFE752" w14:textId="3898EEC6" w:rsidR="00B101DF" w:rsidRDefault="007D7BEB" w:rsidP="0089696F">
      <w:pPr>
        <w:ind w:firstLine="720"/>
      </w:pPr>
      <w:r>
        <w:t>Most</w:t>
      </w:r>
      <w:r w:rsidR="00CE01B1">
        <w:t xml:space="preserve"> team members use pre- and post- surveys in their </w:t>
      </w:r>
      <w:r w:rsidR="00BF6F10">
        <w:t xml:space="preserve">own </w:t>
      </w:r>
      <w:r w:rsidR="00CE01B1">
        <w:t>“I” classes and s</w:t>
      </w:r>
      <w:r w:rsidR="00B101DF">
        <w:t>uggested that this may be an</w:t>
      </w:r>
      <w:r w:rsidR="00CE01B1">
        <w:t xml:space="preserve"> effective method </w:t>
      </w:r>
      <w:r w:rsidR="00862EB4">
        <w:t>for assess</w:t>
      </w:r>
      <w:r w:rsidR="00CE01B1">
        <w:t xml:space="preserve">ing </w:t>
      </w:r>
      <w:r w:rsidR="00B101DF">
        <w:t xml:space="preserve">a </w:t>
      </w:r>
      <w:r>
        <w:t>change in students’</w:t>
      </w:r>
      <w:r w:rsidR="00CE01B1">
        <w:t xml:space="preserve"> thinking over time.  </w:t>
      </w:r>
      <w:r w:rsidR="00EB0C18">
        <w:lastRenderedPageBreak/>
        <w:t xml:space="preserve">They suggested that a committee of “I” instructors develop a common survey with benchmarks that would apply to any “I” class.  </w:t>
      </w:r>
      <w:r w:rsidR="00B101DF">
        <w:t xml:space="preserve">However, if </w:t>
      </w:r>
      <w:r w:rsidR="002B7F94">
        <w:t>a</w:t>
      </w:r>
      <w:r w:rsidR="00B101DF">
        <w:t xml:space="preserve"> rubric </w:t>
      </w:r>
      <w:r w:rsidR="002B7F94">
        <w:t xml:space="preserve">is used </w:t>
      </w:r>
      <w:r w:rsidR="00B101DF">
        <w:t xml:space="preserve">then the team agreed that it should be distributed prior to the start of the semester when </w:t>
      </w:r>
      <w:proofErr w:type="gramStart"/>
      <w:r w:rsidR="00B101DF">
        <w:t>faculty are</w:t>
      </w:r>
      <w:proofErr w:type="gramEnd"/>
      <w:r w:rsidR="00B101DF">
        <w:t xml:space="preserve"> developing their syllabi.  </w:t>
      </w:r>
    </w:p>
    <w:p w14:paraId="61BB5C22" w14:textId="77777777" w:rsidR="00B101DF" w:rsidRDefault="00B101DF" w:rsidP="0089696F">
      <w:pPr>
        <w:ind w:firstLine="720"/>
      </w:pPr>
    </w:p>
    <w:p w14:paraId="669CF95E" w14:textId="61B695A3" w:rsidR="00EB0C18" w:rsidRDefault="00EB0C18" w:rsidP="0089696F">
      <w:pPr>
        <w:ind w:firstLine="720"/>
      </w:pPr>
      <w:r>
        <w:t>Given the</w:t>
      </w:r>
      <w:r w:rsidR="00220A24">
        <w:t xml:space="preserve"> importance</w:t>
      </w:r>
      <w:r w:rsidR="00546320">
        <w:t xml:space="preserve"> </w:t>
      </w:r>
      <w:r w:rsidR="009344A0">
        <w:t xml:space="preserve">of </w:t>
      </w:r>
      <w:r>
        <w:t xml:space="preserve">teaching students how to think across disciplines, team members also </w:t>
      </w:r>
      <w:r w:rsidR="00B101DF">
        <w:t xml:space="preserve">noted </w:t>
      </w:r>
      <w:r>
        <w:t>that a one three-credit “I” class was not sufficient</w:t>
      </w:r>
      <w:r w:rsidR="00B101DF">
        <w:t xml:space="preserve"> and that perhaps the general education curriculum should include an I sequence</w:t>
      </w:r>
      <w:r>
        <w:t>.  While general education is inherently interdisciplinary because</w:t>
      </w:r>
      <w:r w:rsidR="009344A0">
        <w:t xml:space="preserve"> it exposes students to content outside their major, </w:t>
      </w:r>
      <w:r w:rsidR="00B101DF">
        <w:t xml:space="preserve">“I” classes are </w:t>
      </w:r>
      <w:r>
        <w:t xml:space="preserve">where the synthesis of this information </w:t>
      </w:r>
      <w:r w:rsidR="00B101DF">
        <w:t>would most likely occur</w:t>
      </w:r>
      <w:r>
        <w:t xml:space="preserve">. </w:t>
      </w:r>
      <w:r w:rsidR="00B101DF">
        <w:t xml:space="preserve"> </w:t>
      </w:r>
      <w:r>
        <w:t xml:space="preserve">   </w:t>
      </w:r>
    </w:p>
    <w:p w14:paraId="666EDE8B" w14:textId="77777777" w:rsidR="00621468" w:rsidRDefault="00621468" w:rsidP="00E047FA"/>
    <w:p w14:paraId="5DD53FF7" w14:textId="19C71205" w:rsidR="00EB0C18" w:rsidRDefault="00EB0C18" w:rsidP="0089696F">
      <w:pPr>
        <w:ind w:firstLine="720"/>
      </w:pPr>
      <w:r>
        <w:t>Overall, team</w:t>
      </w:r>
      <w:r w:rsidR="004C7160">
        <w:t xml:space="preserve"> members</w:t>
      </w:r>
      <w:r w:rsidR="00E926F2">
        <w:t xml:space="preserve"> enjoyed</w:t>
      </w:r>
      <w:r w:rsidR="0089696F">
        <w:t xml:space="preserve"> and benefited from</w:t>
      </w:r>
      <w:r w:rsidR="00E926F2">
        <w:t xml:space="preserve"> </w:t>
      </w:r>
      <w:r>
        <w:t>the experience of participating in general education assessment because they had an opportunity to talk to colleagues and develop a network outside their disciplines.  They planned to share what they learned over the summer with the</w:t>
      </w:r>
      <w:r w:rsidR="0089696F">
        <w:t>ir</w:t>
      </w:r>
      <w:r>
        <w:t xml:space="preserve"> departments. In addition, they sugge</w:t>
      </w:r>
      <w:r w:rsidR="0089696F">
        <w:t xml:space="preserve">sted that the university provide </w:t>
      </w:r>
      <w:r>
        <w:t xml:space="preserve">other </w:t>
      </w:r>
      <w:r w:rsidR="0089696F">
        <w:t xml:space="preserve">professional development opportunities </w:t>
      </w:r>
      <w:r>
        <w:t xml:space="preserve">for small groups of “I” faculty </w:t>
      </w:r>
      <w:r w:rsidR="0089696F">
        <w:t xml:space="preserve">(i.e., 6-8 people) </w:t>
      </w:r>
      <w:r>
        <w:t xml:space="preserve">to </w:t>
      </w:r>
      <w:r w:rsidR="0089696F">
        <w:t xml:space="preserve">meet and discuss their courses.  </w:t>
      </w:r>
    </w:p>
    <w:p w14:paraId="6C281BF0" w14:textId="77777777" w:rsidR="00246BBB" w:rsidRDefault="00246BBB" w:rsidP="00246BBB"/>
    <w:p w14:paraId="1C42C2CB" w14:textId="4837BA0A" w:rsidR="00246BBB" w:rsidRDefault="00246BBB" w:rsidP="00246BBB">
      <w:pPr>
        <w:rPr>
          <w:b/>
        </w:rPr>
      </w:pPr>
      <w:r w:rsidRPr="00ED1A9D">
        <w:rPr>
          <w:b/>
        </w:rPr>
        <w:t>Assessment Results</w:t>
      </w:r>
    </w:p>
    <w:p w14:paraId="637692DE" w14:textId="77777777" w:rsidR="003C5440" w:rsidRDefault="003C5440" w:rsidP="00246BBB">
      <w:pPr>
        <w:rPr>
          <w:b/>
        </w:rPr>
      </w:pPr>
    </w:p>
    <w:p w14:paraId="09D59F98" w14:textId="25230201" w:rsidR="003D1D75" w:rsidRDefault="003C5440" w:rsidP="003D1D75">
      <w:r>
        <w:tab/>
        <w:t>Some i</w:t>
      </w:r>
      <w:r w:rsidR="00E62C59">
        <w:t xml:space="preserve">nstructors on the team had </w:t>
      </w:r>
      <w:r>
        <w:t xml:space="preserve">difficulty </w:t>
      </w:r>
      <w:r w:rsidR="00E62C59">
        <w:t>juggling</w:t>
      </w:r>
      <w:r w:rsidR="00C77810">
        <w:t xml:space="preserve"> the system of reading artifacts posted on</w:t>
      </w:r>
      <w:r>
        <w:t xml:space="preserve"> D2L and </w:t>
      </w:r>
      <w:r w:rsidR="00C77810">
        <w:t xml:space="preserve">using </w:t>
      </w:r>
      <w:proofErr w:type="spellStart"/>
      <w:r>
        <w:t>Qualtrics</w:t>
      </w:r>
      <w:proofErr w:type="spellEnd"/>
      <w:r>
        <w:t xml:space="preserve"> to </w:t>
      </w:r>
      <w:r w:rsidR="00C77810">
        <w:t>score them</w:t>
      </w:r>
      <w:r>
        <w:t>.  Consequently, the data had to be</w:t>
      </w:r>
      <w:r w:rsidR="00785EDE">
        <w:t xml:space="preserve"> cleaned</w:t>
      </w:r>
      <w:r>
        <w:t xml:space="preserve"> up to remove dupl</w:t>
      </w:r>
      <w:r w:rsidR="003A3D5A">
        <w:t xml:space="preserve">icate and inaccurate </w:t>
      </w:r>
      <w:r w:rsidR="00785EDE">
        <w:t xml:space="preserve">records </w:t>
      </w:r>
      <w:r w:rsidR="003A3D5A">
        <w:t xml:space="preserve">and records </w:t>
      </w:r>
      <w:r w:rsidR="00785EDE">
        <w:t>with missing values</w:t>
      </w:r>
      <w:r>
        <w:t>.</w:t>
      </w:r>
      <w:r w:rsidR="00785EDE">
        <w:t xml:space="preserve"> </w:t>
      </w:r>
      <w:r w:rsidR="00C77810">
        <w:t xml:space="preserve"> </w:t>
      </w:r>
      <w:r w:rsidR="003A3D5A">
        <w:t xml:space="preserve">The final sample size was 74 artifacts.  </w:t>
      </w:r>
      <w:r w:rsidR="00C77810">
        <w:t xml:space="preserve">With three instructors evaluating </w:t>
      </w:r>
      <w:r w:rsidR="003A3D5A">
        <w:t>each artifact</w:t>
      </w:r>
      <w:r w:rsidR="00C77810">
        <w:t>, ther</w:t>
      </w:r>
      <w:r w:rsidR="003D1D75">
        <w:t xml:space="preserve">e were 222 unique data points.  The data was analyzed using Excel pivot tables to calculate the average score for each artifact across each rubric dimension and the total score for each course across </w:t>
      </w:r>
      <w:r w:rsidR="00006215">
        <w:t xml:space="preserve">each rubric dimension. </w:t>
      </w:r>
      <w:r w:rsidR="003D1D75">
        <w:t>The following table shows the average scores:</w:t>
      </w:r>
    </w:p>
    <w:p w14:paraId="5D96DD53" w14:textId="77777777" w:rsidR="003D1D75" w:rsidRDefault="003D1D75" w:rsidP="003D1D75"/>
    <w:p w14:paraId="7FB5A353" w14:textId="5A4F243E" w:rsidR="003D1D75" w:rsidRDefault="003D1D75" w:rsidP="003D1D75">
      <w:r w:rsidRPr="003D1D75">
        <w:rPr>
          <w:noProof/>
        </w:rPr>
        <w:drawing>
          <wp:inline distT="0" distB="0" distL="0" distR="0" wp14:anchorId="292E4ACC" wp14:editId="286F9245">
            <wp:extent cx="59436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762000"/>
                    </a:xfrm>
                    <a:prstGeom prst="rect">
                      <a:avLst/>
                    </a:prstGeom>
                  </pic:spPr>
                </pic:pic>
              </a:graphicData>
            </a:graphic>
          </wp:inline>
        </w:drawing>
      </w:r>
    </w:p>
    <w:p w14:paraId="20F5144D" w14:textId="65FF534C" w:rsidR="003D1D75" w:rsidRPr="00306953" w:rsidRDefault="003D1D75" w:rsidP="003C5440"/>
    <w:p w14:paraId="229A3EE7" w14:textId="791F92B1" w:rsidR="004A6BC2" w:rsidRDefault="008E6777" w:rsidP="003D3FCC">
      <w:r>
        <w:tab/>
        <w:t xml:space="preserve">The rubric scale assigned four points for exceeding expectations, three points for meeting expectations, two points for not meeting expectations and one point for “does not apply.”  </w:t>
      </w:r>
      <w:r w:rsidR="00006215">
        <w:t xml:space="preserve">The data </w:t>
      </w:r>
      <w:r>
        <w:t>is consistent with observations that team members made during the discussions</w:t>
      </w:r>
      <w:r w:rsidR="003D3FCC">
        <w:t xml:space="preserve">.  For example, </w:t>
      </w:r>
      <w:r>
        <w:t xml:space="preserve">WCU students </w:t>
      </w:r>
      <w:r w:rsidR="004A6BC2">
        <w:t xml:space="preserve">overall </w:t>
      </w:r>
      <w:r>
        <w:t>struggle with making connections across disc</w:t>
      </w:r>
      <w:r w:rsidR="004A6BC2">
        <w:t>i</w:t>
      </w:r>
      <w:r>
        <w:t>plines in their written work.  However, this may be the result of “I” classes having to balan</w:t>
      </w:r>
      <w:r w:rsidR="004A6BC2">
        <w:t xml:space="preserve">ce a variety of </w:t>
      </w:r>
      <w:r>
        <w:t xml:space="preserve">learning outcomes if they are serving multiple purposes </w:t>
      </w:r>
      <w:r w:rsidR="004A6BC2">
        <w:t>in the general education curriculum</w:t>
      </w:r>
      <w:r>
        <w:t>.  The data</w:t>
      </w:r>
      <w:r w:rsidR="004A6BC2">
        <w:t xml:space="preserve"> indicate that students met expectations across all rubric dimensions in </w:t>
      </w:r>
      <w:proofErr w:type="spellStart"/>
      <w:r w:rsidR="004A6BC2">
        <w:t>ESS</w:t>
      </w:r>
      <w:proofErr w:type="spellEnd"/>
      <w:r w:rsidR="004A6BC2">
        <w:t xml:space="preserve"> 102, which is the only class that is purely interdisciplinary.  All team members noted the high quality of student artifacts from this class.  </w:t>
      </w:r>
      <w:r w:rsidR="003D3FCC">
        <w:t xml:space="preserve">In addition, team members </w:t>
      </w:r>
      <w:r w:rsidR="00BF6F10">
        <w:t>agreed</w:t>
      </w:r>
      <w:r w:rsidR="003D3FCC">
        <w:t xml:space="preserve"> that it was difficult to identify the reflective component of the artifacts from </w:t>
      </w:r>
      <w:proofErr w:type="spellStart"/>
      <w:r w:rsidR="003D3FCC">
        <w:t>CRJ</w:t>
      </w:r>
      <w:proofErr w:type="spellEnd"/>
      <w:r w:rsidR="003D3FCC">
        <w:t xml:space="preserve"> 336.  The average score of 1.72 for this dimension is consistent with the observations.  </w:t>
      </w:r>
    </w:p>
    <w:p w14:paraId="6A3E389F" w14:textId="77777777" w:rsidR="003D3FCC" w:rsidRDefault="003D3FCC" w:rsidP="003D3FCC"/>
    <w:p w14:paraId="0D679ED3" w14:textId="2811E27F" w:rsidR="003D3FCC" w:rsidRPr="00ED1A9D" w:rsidRDefault="003D3FCC" w:rsidP="003D3FCC">
      <w:pPr>
        <w:rPr>
          <w:b/>
        </w:rPr>
      </w:pPr>
      <w:r w:rsidRPr="00ED1A9D">
        <w:rPr>
          <w:b/>
        </w:rPr>
        <w:t>Recommendations</w:t>
      </w:r>
      <w:r w:rsidR="009F72C1">
        <w:rPr>
          <w:b/>
        </w:rPr>
        <w:t>:</w:t>
      </w:r>
    </w:p>
    <w:p w14:paraId="5B44C0D2" w14:textId="77777777" w:rsidR="003D3FCC" w:rsidRDefault="003D3FCC" w:rsidP="003D3FCC"/>
    <w:p w14:paraId="77A60CA8" w14:textId="77777777" w:rsidR="003D3FCC" w:rsidRPr="0089696F" w:rsidRDefault="003D3FCC" w:rsidP="003D3FCC">
      <w:pPr>
        <w:pStyle w:val="ListParagraph"/>
        <w:numPr>
          <w:ilvl w:val="0"/>
          <w:numId w:val="3"/>
        </w:numPr>
      </w:pPr>
      <w:r>
        <w:t>Create</w:t>
      </w:r>
      <w:r w:rsidRPr="0089696F">
        <w:t xml:space="preserve"> a common syllabus statement about what it means for a class to be designated as interdisciplinary.  </w:t>
      </w:r>
    </w:p>
    <w:p w14:paraId="7DACE944" w14:textId="6D33CB45" w:rsidR="003F29A3" w:rsidRDefault="003F29A3" w:rsidP="003D3FCC">
      <w:pPr>
        <w:pStyle w:val="ListParagraph"/>
        <w:numPr>
          <w:ilvl w:val="0"/>
          <w:numId w:val="3"/>
        </w:numPr>
      </w:pPr>
      <w:r>
        <w:t xml:space="preserve">Consider the implications for interdisciplinary content when “I” course serve multiple purposes in the curriculum. </w:t>
      </w:r>
    </w:p>
    <w:p w14:paraId="3840771A" w14:textId="7703F3C8" w:rsidR="003D3FCC" w:rsidRDefault="003D3FCC" w:rsidP="003D3FCC">
      <w:pPr>
        <w:pStyle w:val="ListParagraph"/>
        <w:numPr>
          <w:ilvl w:val="0"/>
          <w:numId w:val="3"/>
        </w:numPr>
      </w:pPr>
      <w:r>
        <w:t xml:space="preserve">Assess </w:t>
      </w:r>
      <w:r w:rsidR="003F29A3">
        <w:t xml:space="preserve">interdisciplinary thinking by measuring the change in </w:t>
      </w:r>
      <w:r>
        <w:t xml:space="preserve">student thinking using a common pre- and post-survey instead of a rubric.  </w:t>
      </w:r>
    </w:p>
    <w:p w14:paraId="1C25F3D8" w14:textId="77777777" w:rsidR="003D3FCC" w:rsidRDefault="003D3FCC" w:rsidP="003D3FCC">
      <w:pPr>
        <w:pStyle w:val="ListParagraph"/>
        <w:numPr>
          <w:ilvl w:val="0"/>
          <w:numId w:val="3"/>
        </w:numPr>
      </w:pPr>
      <w:r>
        <w:t>If a rubric continues to be used, distribute it to all “I” faculty prior to the start of the semester when they are developing their syllabi.  This idea is similar to what was suggested in the 2017 general education assessment report.</w:t>
      </w:r>
    </w:p>
    <w:p w14:paraId="77085F4F" w14:textId="77777777" w:rsidR="003D3FCC" w:rsidRDefault="003D3FCC" w:rsidP="003D3FCC">
      <w:pPr>
        <w:pStyle w:val="ListParagraph"/>
        <w:numPr>
          <w:ilvl w:val="0"/>
          <w:numId w:val="3"/>
        </w:numPr>
      </w:pPr>
      <w:r>
        <w:t xml:space="preserve">Provide other professional development opportunities for “I” faculty to meet in small groups and share information.  Again, this is similar to what was suggested in the 2017 general education assessment report.  </w:t>
      </w:r>
    </w:p>
    <w:p w14:paraId="700F1363" w14:textId="77777777" w:rsidR="003D3FCC" w:rsidRDefault="003D3FCC" w:rsidP="003D3FCC"/>
    <w:p w14:paraId="536F0C6D" w14:textId="1E74B25A" w:rsidR="004A6BC2" w:rsidRDefault="004A6BC2">
      <w:r>
        <w:br w:type="page"/>
      </w:r>
    </w:p>
    <w:p w14:paraId="7DEAF298" w14:textId="77777777" w:rsidR="00006215" w:rsidRDefault="00006215"/>
    <w:tbl>
      <w:tblPr>
        <w:tblW w:w="18662" w:type="dxa"/>
        <w:tblLayout w:type="fixed"/>
        <w:tblCellMar>
          <w:left w:w="10" w:type="dxa"/>
          <w:right w:w="10" w:type="dxa"/>
        </w:tblCellMar>
        <w:tblLook w:val="0000" w:firstRow="0" w:lastRow="0" w:firstColumn="0" w:lastColumn="0" w:noHBand="0" w:noVBand="0"/>
      </w:tblPr>
      <w:tblGrid>
        <w:gridCol w:w="16669"/>
        <w:gridCol w:w="1993"/>
      </w:tblGrid>
      <w:tr w:rsidR="00006215" w14:paraId="4DF1930C" w14:textId="77777777" w:rsidTr="00773B23">
        <w:trPr>
          <w:trHeight w:val="311"/>
        </w:trPr>
        <w:tc>
          <w:tcPr>
            <w:tcW w:w="16669" w:type="dxa"/>
            <w:tcMar>
              <w:top w:w="0" w:type="dxa"/>
              <w:left w:w="0" w:type="dxa"/>
              <w:bottom w:w="0" w:type="dxa"/>
              <w:right w:w="0" w:type="dxa"/>
            </w:tcMar>
          </w:tcPr>
          <w:p w14:paraId="7DBA7A36" w14:textId="77777777" w:rsidR="00006215" w:rsidRPr="00CF0C5D" w:rsidRDefault="00006215" w:rsidP="00773B23">
            <w:pPr>
              <w:pStyle w:val="Standard"/>
              <w:snapToGrid w:val="0"/>
              <w:rPr>
                <w:sz w:val="40"/>
                <w:szCs w:val="40"/>
                <w:lang w:val="en-US"/>
              </w:rPr>
            </w:pPr>
            <w:r>
              <w:rPr>
                <w:rFonts w:ascii="Garamond" w:hAnsi="Garamond"/>
                <w:b/>
                <w:smallCaps/>
                <w:color w:val="000000"/>
                <w:sz w:val="40"/>
                <w:szCs w:val="40"/>
                <w:lang w:val="en-US"/>
              </w:rPr>
              <w:t>Integrative Learning</w:t>
            </w:r>
            <w:r>
              <w:rPr>
                <w:rFonts w:ascii="Garamond" w:hAnsi="Garamond"/>
                <w:b/>
                <w:smallCaps/>
                <w:color w:val="000000"/>
                <w:sz w:val="40"/>
                <w:szCs w:val="40"/>
              </w:rPr>
              <w:t xml:space="preserve"> Rubric</w:t>
            </w:r>
            <w:r>
              <w:rPr>
                <w:rFonts w:ascii="Garamond" w:hAnsi="Garamond"/>
                <w:b/>
                <w:smallCaps/>
                <w:color w:val="000000"/>
                <w:sz w:val="40"/>
                <w:szCs w:val="40"/>
                <w:lang w:val="en-US"/>
              </w:rPr>
              <w:t xml:space="preserve"> (FINAL)</w:t>
            </w:r>
          </w:p>
          <w:p w14:paraId="75EF5390" w14:textId="77777777" w:rsidR="00006215" w:rsidRDefault="00006215" w:rsidP="00773B23">
            <w:pPr>
              <w:pStyle w:val="Standard"/>
              <w:snapToGrid w:val="0"/>
              <w:jc w:val="center"/>
              <w:rPr>
                <w:sz w:val="20"/>
                <w:szCs w:val="20"/>
              </w:rPr>
            </w:pPr>
          </w:p>
        </w:tc>
        <w:tc>
          <w:tcPr>
            <w:tcW w:w="1993" w:type="dxa"/>
            <w:tcMar>
              <w:top w:w="0" w:type="dxa"/>
              <w:left w:w="0" w:type="dxa"/>
              <w:bottom w:w="0" w:type="dxa"/>
              <w:right w:w="0" w:type="dxa"/>
            </w:tcMar>
          </w:tcPr>
          <w:p w14:paraId="7965B584" w14:textId="77777777" w:rsidR="00006215" w:rsidRDefault="00006215" w:rsidP="00773B23">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jc w:val="center"/>
              <w:rPr>
                <w:rFonts w:ascii="Garamond" w:hAnsi="Garamond"/>
                <w:sz w:val="20"/>
                <w:szCs w:val="20"/>
              </w:rPr>
            </w:pPr>
          </w:p>
        </w:tc>
      </w:tr>
    </w:tbl>
    <w:p w14:paraId="47A30435" w14:textId="77777777" w:rsidR="00006215" w:rsidRDefault="00006215" w:rsidP="00006215">
      <w:pPr>
        <w:pStyle w:val="Standard"/>
        <w:rPr>
          <w:rFonts w:ascii="Garamond" w:hAnsi="Garamond"/>
          <w:i/>
          <w:iCs/>
          <w:sz w:val="16"/>
          <w:szCs w:val="16"/>
        </w:rPr>
      </w:pPr>
    </w:p>
    <w:p w14:paraId="1CA3EE0A" w14:textId="77777777" w:rsidR="00006215" w:rsidRDefault="00006215" w:rsidP="00006215">
      <w:pPr>
        <w:pStyle w:val="Standard"/>
        <w:rPr>
          <w:rFonts w:ascii="Garamond" w:eastAsia="Arial" w:hAnsi="Garamond" w:cs="Arial"/>
          <w:b/>
          <w:sz w:val="22"/>
          <w:szCs w:val="22"/>
        </w:rPr>
      </w:pPr>
    </w:p>
    <w:tbl>
      <w:tblPr>
        <w:tblpPr w:leftFromText="180" w:rightFromText="180" w:vertAnchor="text" w:horzAnchor="margin" w:tblpY="10"/>
        <w:tblW w:w="0" w:type="auto"/>
        <w:tblCellMar>
          <w:left w:w="10" w:type="dxa"/>
          <w:right w:w="10" w:type="dxa"/>
        </w:tblCellMar>
        <w:tblLook w:val="0000" w:firstRow="0" w:lastRow="0" w:firstColumn="0" w:lastColumn="0" w:noHBand="0" w:noVBand="0"/>
      </w:tblPr>
      <w:tblGrid>
        <w:gridCol w:w="2785"/>
        <w:gridCol w:w="1620"/>
        <w:gridCol w:w="1530"/>
        <w:gridCol w:w="1710"/>
        <w:gridCol w:w="1498"/>
      </w:tblGrid>
      <w:tr w:rsidR="00006215" w14:paraId="7BFB3587" w14:textId="77777777" w:rsidTr="00006215">
        <w:trPr>
          <w:trHeight w:val="473"/>
        </w:trPr>
        <w:tc>
          <w:tcPr>
            <w:tcW w:w="27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7EFBD43" w14:textId="77777777" w:rsidR="00006215" w:rsidRDefault="00006215" w:rsidP="00773B23">
            <w:pPr>
              <w:pStyle w:val="Standard"/>
              <w:rPr>
                <w:rFonts w:ascii="Garamond" w:hAnsi="Garamond"/>
                <w:b/>
                <w:sz w:val="22"/>
                <w:szCs w:val="22"/>
              </w:rPr>
            </w:pPr>
          </w:p>
        </w:tc>
        <w:tc>
          <w:tcPr>
            <w:tcW w:w="162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720A3FA" w14:textId="066F412E" w:rsidR="00006215" w:rsidRDefault="00006215" w:rsidP="00006215">
            <w:pPr>
              <w:pStyle w:val="Standard"/>
              <w:jc w:val="center"/>
              <w:rPr>
                <w:rFonts w:ascii="Garamond" w:hAnsi="Garamond"/>
                <w:b/>
                <w:sz w:val="22"/>
                <w:szCs w:val="22"/>
                <w:lang w:val="en-US"/>
              </w:rPr>
            </w:pPr>
            <w:r>
              <w:rPr>
                <w:rFonts w:ascii="Garamond" w:hAnsi="Garamond"/>
                <w:b/>
                <w:sz w:val="22"/>
                <w:szCs w:val="22"/>
                <w:lang w:val="en-US"/>
              </w:rPr>
              <w:t xml:space="preserve">Exceeds Expectations </w:t>
            </w:r>
          </w:p>
          <w:p w14:paraId="233CA60F" w14:textId="091C23FC" w:rsidR="00006215" w:rsidRPr="00CF0C5D" w:rsidRDefault="00006215" w:rsidP="00006215">
            <w:pPr>
              <w:pStyle w:val="Standard"/>
              <w:jc w:val="center"/>
              <w:rPr>
                <w:rFonts w:ascii="Garamond" w:hAnsi="Garamond"/>
                <w:b/>
                <w:sz w:val="22"/>
                <w:szCs w:val="22"/>
                <w:lang w:val="en-US"/>
              </w:rPr>
            </w:pPr>
            <w:r>
              <w:rPr>
                <w:rFonts w:ascii="Garamond" w:hAnsi="Garamond"/>
                <w:b/>
                <w:sz w:val="22"/>
                <w:szCs w:val="22"/>
                <w:lang w:val="en-US"/>
              </w:rPr>
              <w:t>(</w:t>
            </w:r>
            <w:r w:rsidRPr="00CF0C5D">
              <w:rPr>
                <w:rFonts w:ascii="Garamond" w:hAnsi="Garamond"/>
                <w:b/>
                <w:sz w:val="22"/>
                <w:szCs w:val="22"/>
                <w:lang w:val="en-US"/>
              </w:rPr>
              <w:t>4</w:t>
            </w:r>
            <w:r>
              <w:rPr>
                <w:rFonts w:ascii="Garamond" w:hAnsi="Garamond"/>
                <w:b/>
                <w:sz w:val="22"/>
                <w:szCs w:val="22"/>
                <w:lang w:val="en-US"/>
              </w:rPr>
              <w:t>)</w:t>
            </w:r>
          </w:p>
          <w:p w14:paraId="68BB4472" w14:textId="77777777" w:rsidR="00006215" w:rsidRPr="00CF0C5D" w:rsidRDefault="00006215" w:rsidP="00006215">
            <w:pPr>
              <w:pStyle w:val="Standard"/>
              <w:jc w:val="center"/>
              <w:rPr>
                <w:rFonts w:ascii="Garamond" w:hAnsi="Garamond"/>
                <w:b/>
                <w:sz w:val="22"/>
                <w:szCs w:val="22"/>
              </w:rPr>
            </w:pPr>
          </w:p>
        </w:tc>
        <w:tc>
          <w:tcPr>
            <w:tcW w:w="153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33DAFB0" w14:textId="6B38E873" w:rsidR="00006215" w:rsidRPr="00CF0C5D" w:rsidRDefault="00006215" w:rsidP="00006215">
            <w:pPr>
              <w:pStyle w:val="Standard"/>
              <w:jc w:val="center"/>
              <w:rPr>
                <w:rFonts w:ascii="Garamond" w:hAnsi="Garamond"/>
                <w:b/>
                <w:sz w:val="22"/>
                <w:szCs w:val="22"/>
                <w:lang w:val="en-US"/>
              </w:rPr>
            </w:pPr>
            <w:r w:rsidRPr="00CF0C5D">
              <w:rPr>
                <w:rFonts w:ascii="Garamond" w:hAnsi="Garamond"/>
                <w:b/>
                <w:sz w:val="22"/>
                <w:szCs w:val="22"/>
                <w:lang w:val="en-US"/>
              </w:rPr>
              <w:t xml:space="preserve">Meets Expectations  </w:t>
            </w:r>
            <w:r>
              <w:rPr>
                <w:rFonts w:ascii="Garamond" w:hAnsi="Garamond"/>
                <w:b/>
                <w:sz w:val="22"/>
                <w:szCs w:val="22"/>
                <w:lang w:val="en-US"/>
              </w:rPr>
              <w:t>(</w:t>
            </w:r>
            <w:r w:rsidRPr="00CF0C5D">
              <w:rPr>
                <w:rFonts w:ascii="Garamond" w:hAnsi="Garamond"/>
                <w:b/>
                <w:sz w:val="22"/>
                <w:szCs w:val="22"/>
                <w:lang w:val="en-US"/>
              </w:rPr>
              <w:t>3</w:t>
            </w:r>
            <w:r>
              <w:rPr>
                <w:rFonts w:ascii="Garamond" w:hAnsi="Garamond"/>
                <w:b/>
                <w:sz w:val="22"/>
                <w:szCs w:val="22"/>
                <w:lang w:val="en-US"/>
              </w:rPr>
              <w:t>)</w:t>
            </w:r>
          </w:p>
        </w:tc>
        <w:tc>
          <w:tcPr>
            <w:tcW w:w="171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2263B3B" w14:textId="0D0D9E59" w:rsidR="00006215" w:rsidRDefault="00006215" w:rsidP="00006215">
            <w:pPr>
              <w:pStyle w:val="Standard"/>
              <w:jc w:val="center"/>
              <w:rPr>
                <w:rFonts w:ascii="Garamond" w:hAnsi="Garamond"/>
                <w:b/>
                <w:sz w:val="22"/>
                <w:szCs w:val="22"/>
                <w:lang w:val="en-US"/>
              </w:rPr>
            </w:pPr>
            <w:r w:rsidRPr="00CF0C5D">
              <w:rPr>
                <w:rFonts w:ascii="Garamond" w:hAnsi="Garamond"/>
                <w:b/>
                <w:sz w:val="22"/>
                <w:szCs w:val="22"/>
                <w:lang w:val="en-US"/>
              </w:rPr>
              <w:t>Does Not Meet Expectations</w:t>
            </w:r>
          </w:p>
          <w:p w14:paraId="2089F0D2" w14:textId="3FBB3C85" w:rsidR="00006215" w:rsidRPr="00CF0C5D" w:rsidRDefault="00006215" w:rsidP="00006215">
            <w:pPr>
              <w:pStyle w:val="Standard"/>
              <w:jc w:val="center"/>
              <w:rPr>
                <w:rFonts w:ascii="Garamond" w:hAnsi="Garamond"/>
                <w:b/>
                <w:sz w:val="22"/>
                <w:szCs w:val="22"/>
                <w:lang w:val="en-US"/>
              </w:rPr>
            </w:pPr>
            <w:r>
              <w:rPr>
                <w:rFonts w:ascii="Garamond" w:hAnsi="Garamond"/>
                <w:b/>
                <w:sz w:val="22"/>
                <w:szCs w:val="22"/>
                <w:lang w:val="en-US"/>
              </w:rPr>
              <w:t>(2)</w:t>
            </w:r>
          </w:p>
        </w:tc>
        <w:tc>
          <w:tcPr>
            <w:tcW w:w="149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D3F2051" w14:textId="77777777" w:rsidR="00006215" w:rsidRDefault="00006215" w:rsidP="00006215">
            <w:pPr>
              <w:pStyle w:val="Standard"/>
              <w:jc w:val="center"/>
              <w:rPr>
                <w:rFonts w:ascii="Garamond" w:hAnsi="Garamond"/>
                <w:b/>
                <w:sz w:val="22"/>
                <w:szCs w:val="22"/>
                <w:lang w:val="en-US"/>
              </w:rPr>
            </w:pPr>
            <w:r>
              <w:rPr>
                <w:rFonts w:ascii="Garamond" w:hAnsi="Garamond"/>
                <w:b/>
                <w:sz w:val="22"/>
                <w:szCs w:val="22"/>
                <w:lang w:val="en-US"/>
              </w:rPr>
              <w:t>Does Not Apply</w:t>
            </w:r>
          </w:p>
          <w:p w14:paraId="66E861C2" w14:textId="585CF455" w:rsidR="00006215" w:rsidRPr="00CF0C5D" w:rsidRDefault="00006215" w:rsidP="00006215">
            <w:pPr>
              <w:pStyle w:val="Standard"/>
              <w:jc w:val="center"/>
              <w:rPr>
                <w:rFonts w:ascii="Garamond" w:hAnsi="Garamond"/>
                <w:b/>
                <w:sz w:val="22"/>
                <w:szCs w:val="22"/>
                <w:lang w:val="en-US"/>
              </w:rPr>
            </w:pPr>
            <w:r>
              <w:rPr>
                <w:rFonts w:ascii="Garamond" w:hAnsi="Garamond"/>
                <w:b/>
                <w:sz w:val="22"/>
                <w:szCs w:val="22"/>
                <w:lang w:val="en-US"/>
              </w:rPr>
              <w:t>(</w:t>
            </w:r>
            <w:r w:rsidRPr="00CF0C5D">
              <w:rPr>
                <w:rFonts w:ascii="Garamond" w:hAnsi="Garamond"/>
                <w:b/>
                <w:sz w:val="22"/>
                <w:szCs w:val="22"/>
                <w:lang w:val="en-US"/>
              </w:rPr>
              <w:t>1</w:t>
            </w:r>
            <w:r>
              <w:rPr>
                <w:rFonts w:ascii="Garamond" w:hAnsi="Garamond"/>
                <w:b/>
                <w:sz w:val="22"/>
                <w:szCs w:val="22"/>
                <w:lang w:val="en-US"/>
              </w:rPr>
              <w:t>)</w:t>
            </w:r>
          </w:p>
        </w:tc>
      </w:tr>
      <w:tr w:rsidR="00006215" w14:paraId="42CFA4AA" w14:textId="77777777" w:rsidTr="00006215">
        <w:trPr>
          <w:trHeight w:val="731"/>
        </w:trPr>
        <w:tc>
          <w:tcPr>
            <w:tcW w:w="2785" w:type="dxa"/>
            <w:tcBorders>
              <w:top w:val="single" w:sz="4" w:space="0" w:color="auto"/>
              <w:left w:val="single" w:sz="2" w:space="0" w:color="000000"/>
              <w:bottom w:val="single" w:sz="2" w:space="0" w:color="000000"/>
            </w:tcBorders>
            <w:tcMar>
              <w:top w:w="55" w:type="dxa"/>
              <w:left w:w="55" w:type="dxa"/>
              <w:bottom w:w="55" w:type="dxa"/>
              <w:right w:w="55" w:type="dxa"/>
            </w:tcMar>
          </w:tcPr>
          <w:p w14:paraId="6F416504" w14:textId="77777777" w:rsidR="00006215" w:rsidRPr="00CF20A3" w:rsidRDefault="00006215" w:rsidP="00773B23">
            <w:pPr>
              <w:pStyle w:val="Standard"/>
              <w:rPr>
                <w:rFonts w:ascii="Garamond" w:hAnsi="Garamond"/>
                <w:b/>
                <w:sz w:val="22"/>
                <w:szCs w:val="22"/>
              </w:rPr>
            </w:pPr>
            <w:r>
              <w:rPr>
                <w:rFonts w:ascii="Garamond" w:hAnsi="Garamond"/>
                <w:b/>
                <w:sz w:val="22"/>
                <w:szCs w:val="22"/>
              </w:rPr>
              <w:t>Connection</w:t>
            </w:r>
            <w:r w:rsidRPr="00CF20A3">
              <w:rPr>
                <w:rFonts w:ascii="Garamond" w:hAnsi="Garamond"/>
                <w:b/>
                <w:sz w:val="22"/>
                <w:szCs w:val="22"/>
              </w:rPr>
              <w:t xml:space="preserve"> to </w:t>
            </w:r>
            <w:r w:rsidRPr="00CF20A3">
              <w:rPr>
                <w:rFonts w:ascii="Garamond" w:hAnsi="Garamond"/>
                <w:b/>
                <w:sz w:val="22"/>
                <w:szCs w:val="22"/>
                <w:lang w:val="en-US"/>
              </w:rPr>
              <w:t>E</w:t>
            </w:r>
            <w:r w:rsidRPr="00CF20A3">
              <w:rPr>
                <w:rFonts w:ascii="Garamond" w:hAnsi="Garamond"/>
                <w:b/>
                <w:sz w:val="22"/>
                <w:szCs w:val="22"/>
              </w:rPr>
              <w:t>xperience</w:t>
            </w:r>
          </w:p>
          <w:p w14:paraId="3ACD36BA" w14:textId="77777777" w:rsidR="00006215" w:rsidRPr="00CF20A3" w:rsidRDefault="00006215" w:rsidP="00773B23">
            <w:pPr>
              <w:pStyle w:val="Standard"/>
              <w:rPr>
                <w:rFonts w:ascii="Garamond" w:hAnsi="Garamond"/>
                <w:sz w:val="22"/>
                <w:szCs w:val="22"/>
              </w:rPr>
            </w:pPr>
            <w:r w:rsidRPr="00CF20A3">
              <w:rPr>
                <w:rFonts w:ascii="Garamond" w:hAnsi="Garamond"/>
                <w:sz w:val="22"/>
                <w:szCs w:val="22"/>
              </w:rPr>
              <w:t>Connects relevant experience and academic knowledge</w:t>
            </w:r>
          </w:p>
        </w:tc>
        <w:tc>
          <w:tcPr>
            <w:tcW w:w="1620" w:type="dxa"/>
            <w:tcBorders>
              <w:top w:val="single" w:sz="4" w:space="0" w:color="auto"/>
              <w:left w:val="single" w:sz="2" w:space="0" w:color="000000"/>
              <w:bottom w:val="single" w:sz="2" w:space="0" w:color="000000"/>
            </w:tcBorders>
            <w:tcMar>
              <w:top w:w="55" w:type="dxa"/>
              <w:left w:w="55" w:type="dxa"/>
              <w:bottom w:w="55" w:type="dxa"/>
              <w:right w:w="55" w:type="dxa"/>
            </w:tcMar>
          </w:tcPr>
          <w:p w14:paraId="6DB9432D" w14:textId="77777777" w:rsidR="00006215" w:rsidRDefault="00006215" w:rsidP="00773B23">
            <w:pPr>
              <w:pStyle w:val="Standard"/>
              <w:rPr>
                <w:rFonts w:ascii="Garamond" w:hAnsi="Garamond"/>
                <w:sz w:val="22"/>
                <w:szCs w:val="22"/>
              </w:rPr>
            </w:pPr>
          </w:p>
        </w:tc>
        <w:tc>
          <w:tcPr>
            <w:tcW w:w="1530" w:type="dxa"/>
            <w:tcBorders>
              <w:top w:val="single" w:sz="4" w:space="0" w:color="auto"/>
              <w:left w:val="single" w:sz="2" w:space="0" w:color="000000"/>
              <w:bottom w:val="single" w:sz="2" w:space="0" w:color="000000"/>
            </w:tcBorders>
            <w:tcMar>
              <w:top w:w="55" w:type="dxa"/>
              <w:left w:w="55" w:type="dxa"/>
              <w:bottom w:w="55" w:type="dxa"/>
              <w:right w:w="55" w:type="dxa"/>
            </w:tcMar>
          </w:tcPr>
          <w:p w14:paraId="77530BBB" w14:textId="77777777" w:rsidR="00006215" w:rsidRDefault="00006215" w:rsidP="00773B23">
            <w:pPr>
              <w:pStyle w:val="Standard"/>
              <w:rPr>
                <w:rFonts w:ascii="Garamond" w:hAnsi="Garamond"/>
                <w:sz w:val="22"/>
                <w:szCs w:val="22"/>
              </w:rPr>
            </w:pPr>
          </w:p>
        </w:tc>
        <w:tc>
          <w:tcPr>
            <w:tcW w:w="1710" w:type="dxa"/>
            <w:tcBorders>
              <w:top w:val="single" w:sz="4" w:space="0" w:color="auto"/>
              <w:left w:val="single" w:sz="2" w:space="0" w:color="000000"/>
              <w:bottom w:val="single" w:sz="2" w:space="0" w:color="000000"/>
            </w:tcBorders>
            <w:tcMar>
              <w:top w:w="55" w:type="dxa"/>
              <w:left w:w="55" w:type="dxa"/>
              <w:bottom w:w="55" w:type="dxa"/>
              <w:right w:w="55" w:type="dxa"/>
            </w:tcMar>
          </w:tcPr>
          <w:p w14:paraId="47F604D6" w14:textId="77777777" w:rsidR="00006215" w:rsidRDefault="00006215" w:rsidP="00773B23">
            <w:pPr>
              <w:pStyle w:val="Standard"/>
              <w:rPr>
                <w:rFonts w:ascii="Garamond" w:hAnsi="Garamond"/>
                <w:sz w:val="22"/>
                <w:szCs w:val="22"/>
              </w:rPr>
            </w:pPr>
          </w:p>
        </w:tc>
        <w:tc>
          <w:tcPr>
            <w:tcW w:w="149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442461FB" w14:textId="77777777" w:rsidR="00006215" w:rsidRDefault="00006215" w:rsidP="00773B23">
            <w:pPr>
              <w:pStyle w:val="Standard"/>
              <w:rPr>
                <w:rFonts w:ascii="Garamond" w:hAnsi="Garamond"/>
                <w:sz w:val="22"/>
                <w:szCs w:val="22"/>
              </w:rPr>
            </w:pPr>
          </w:p>
        </w:tc>
      </w:tr>
      <w:tr w:rsidR="00006215" w14:paraId="27873D73" w14:textId="77777777" w:rsidTr="00006215">
        <w:trPr>
          <w:trHeight w:val="974"/>
        </w:trPr>
        <w:tc>
          <w:tcPr>
            <w:tcW w:w="2785" w:type="dxa"/>
            <w:tcBorders>
              <w:left w:val="single" w:sz="2" w:space="0" w:color="000000"/>
              <w:bottom w:val="single" w:sz="2" w:space="0" w:color="000000"/>
            </w:tcBorders>
            <w:tcMar>
              <w:top w:w="55" w:type="dxa"/>
              <w:left w:w="55" w:type="dxa"/>
              <w:bottom w:w="55" w:type="dxa"/>
              <w:right w:w="55" w:type="dxa"/>
            </w:tcMar>
          </w:tcPr>
          <w:p w14:paraId="32ECD65D" w14:textId="77777777" w:rsidR="00006215" w:rsidRPr="00D7263B" w:rsidRDefault="00006215" w:rsidP="00773B23">
            <w:pPr>
              <w:pStyle w:val="Standard"/>
              <w:rPr>
                <w:rFonts w:ascii="Garamond" w:hAnsi="Garamond"/>
                <w:b/>
                <w:sz w:val="22"/>
                <w:szCs w:val="22"/>
                <w:lang w:val="en-US"/>
              </w:rPr>
            </w:pPr>
            <w:r w:rsidRPr="00CF20A3">
              <w:rPr>
                <w:rFonts w:ascii="Garamond" w:hAnsi="Garamond"/>
                <w:b/>
                <w:sz w:val="22"/>
                <w:szCs w:val="22"/>
              </w:rPr>
              <w:t>Transfer</w:t>
            </w:r>
            <w:r>
              <w:rPr>
                <w:rFonts w:ascii="Garamond" w:hAnsi="Garamond"/>
                <w:b/>
                <w:sz w:val="22"/>
                <w:szCs w:val="22"/>
                <w:lang w:val="en-US"/>
              </w:rPr>
              <w:t xml:space="preserve"> of Knowledge </w:t>
            </w:r>
          </w:p>
          <w:p w14:paraId="42E88800" w14:textId="77777777" w:rsidR="00006215" w:rsidRPr="00AF7718" w:rsidRDefault="00006215" w:rsidP="00773B23">
            <w:pPr>
              <w:pStyle w:val="Standard"/>
              <w:rPr>
                <w:rFonts w:ascii="Garamond" w:hAnsi="Garamond"/>
                <w:sz w:val="22"/>
                <w:szCs w:val="22"/>
                <w:lang w:val="en-US"/>
              </w:rPr>
            </w:pPr>
            <w:r>
              <w:rPr>
                <w:rFonts w:ascii="Garamond" w:hAnsi="Garamond"/>
                <w:sz w:val="22"/>
                <w:szCs w:val="22"/>
                <w:lang w:val="en-US"/>
              </w:rPr>
              <w:t xml:space="preserve">Draws information from other disciplines to solve problems or think about issues in own discipline or field </w:t>
            </w:r>
          </w:p>
        </w:tc>
        <w:tc>
          <w:tcPr>
            <w:tcW w:w="1620" w:type="dxa"/>
            <w:tcBorders>
              <w:left w:val="single" w:sz="2" w:space="0" w:color="000000"/>
              <w:bottom w:val="single" w:sz="2" w:space="0" w:color="000000"/>
            </w:tcBorders>
            <w:tcMar>
              <w:top w:w="55" w:type="dxa"/>
              <w:left w:w="55" w:type="dxa"/>
              <w:bottom w:w="55" w:type="dxa"/>
              <w:right w:w="55" w:type="dxa"/>
            </w:tcMar>
          </w:tcPr>
          <w:p w14:paraId="6DB63626" w14:textId="77777777" w:rsidR="00006215" w:rsidRDefault="00006215" w:rsidP="00773B23">
            <w:pPr>
              <w:pStyle w:val="Standard"/>
              <w:rPr>
                <w:rFonts w:ascii="Garamond" w:hAnsi="Garamond"/>
                <w:sz w:val="21"/>
                <w:szCs w:val="21"/>
              </w:rPr>
            </w:pPr>
          </w:p>
        </w:tc>
        <w:tc>
          <w:tcPr>
            <w:tcW w:w="1530" w:type="dxa"/>
            <w:tcBorders>
              <w:left w:val="single" w:sz="2" w:space="0" w:color="000000"/>
              <w:bottom w:val="single" w:sz="2" w:space="0" w:color="000000"/>
            </w:tcBorders>
            <w:tcMar>
              <w:top w:w="55" w:type="dxa"/>
              <w:left w:w="55" w:type="dxa"/>
              <w:bottom w:w="55" w:type="dxa"/>
              <w:right w:w="55" w:type="dxa"/>
            </w:tcMar>
          </w:tcPr>
          <w:p w14:paraId="02483AF5" w14:textId="77777777" w:rsidR="00006215" w:rsidRDefault="00006215" w:rsidP="00773B23">
            <w:pPr>
              <w:pStyle w:val="Standard"/>
              <w:rPr>
                <w:rFonts w:ascii="Garamond" w:hAnsi="Garamond"/>
                <w:sz w:val="22"/>
                <w:szCs w:val="22"/>
              </w:rPr>
            </w:pPr>
          </w:p>
        </w:tc>
        <w:tc>
          <w:tcPr>
            <w:tcW w:w="1710" w:type="dxa"/>
            <w:tcBorders>
              <w:left w:val="single" w:sz="2" w:space="0" w:color="000000"/>
              <w:bottom w:val="single" w:sz="2" w:space="0" w:color="000000"/>
            </w:tcBorders>
            <w:tcMar>
              <w:top w:w="55" w:type="dxa"/>
              <w:left w:w="55" w:type="dxa"/>
              <w:bottom w:w="55" w:type="dxa"/>
              <w:right w:w="55" w:type="dxa"/>
            </w:tcMar>
          </w:tcPr>
          <w:p w14:paraId="280A72E4" w14:textId="77777777" w:rsidR="00006215" w:rsidRDefault="00006215" w:rsidP="00773B23">
            <w:pPr>
              <w:pStyle w:val="Standard"/>
              <w:rPr>
                <w:rFonts w:ascii="Garamond" w:hAnsi="Garamond"/>
                <w:sz w:val="22"/>
                <w:szCs w:val="22"/>
              </w:rPr>
            </w:pPr>
          </w:p>
        </w:tc>
        <w:tc>
          <w:tcPr>
            <w:tcW w:w="149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3E65CEA" w14:textId="77777777" w:rsidR="00006215" w:rsidRDefault="00006215" w:rsidP="00773B23">
            <w:pPr>
              <w:pStyle w:val="Standard"/>
              <w:rPr>
                <w:rFonts w:ascii="Garamond" w:hAnsi="Garamond"/>
                <w:sz w:val="22"/>
                <w:szCs w:val="22"/>
              </w:rPr>
            </w:pPr>
          </w:p>
        </w:tc>
      </w:tr>
      <w:tr w:rsidR="00006215" w14:paraId="23954747" w14:textId="77777777" w:rsidTr="00006215">
        <w:trPr>
          <w:trHeight w:val="961"/>
        </w:trPr>
        <w:tc>
          <w:tcPr>
            <w:tcW w:w="2785" w:type="dxa"/>
            <w:tcBorders>
              <w:left w:val="single" w:sz="2" w:space="0" w:color="000000"/>
              <w:bottom w:val="single" w:sz="2" w:space="0" w:color="000000"/>
            </w:tcBorders>
            <w:tcMar>
              <w:top w:w="55" w:type="dxa"/>
              <w:left w:w="55" w:type="dxa"/>
              <w:bottom w:w="55" w:type="dxa"/>
              <w:right w:w="55" w:type="dxa"/>
            </w:tcMar>
          </w:tcPr>
          <w:p w14:paraId="0A4D2059" w14:textId="77777777" w:rsidR="00006215" w:rsidRPr="003B673D" w:rsidRDefault="00006215" w:rsidP="00773B23">
            <w:pPr>
              <w:pStyle w:val="Standard"/>
              <w:rPr>
                <w:rFonts w:ascii="Garamond" w:hAnsi="Garamond"/>
                <w:b/>
                <w:bCs/>
                <w:sz w:val="22"/>
                <w:szCs w:val="22"/>
                <w:lang w:val="en-US"/>
              </w:rPr>
            </w:pPr>
            <w:r>
              <w:rPr>
                <w:rFonts w:ascii="Garamond" w:hAnsi="Garamond"/>
                <w:b/>
                <w:bCs/>
                <w:sz w:val="22"/>
                <w:szCs w:val="22"/>
                <w:lang w:val="en-US"/>
              </w:rPr>
              <w:t xml:space="preserve">Expression of Knowledge </w:t>
            </w:r>
          </w:p>
          <w:p w14:paraId="4BDEB951" w14:textId="77777777" w:rsidR="00006215" w:rsidRPr="00CF20A3" w:rsidRDefault="00006215" w:rsidP="00773B23">
            <w:pPr>
              <w:pStyle w:val="Standard"/>
              <w:rPr>
                <w:rFonts w:ascii="Garamond" w:hAnsi="Garamond"/>
                <w:bCs/>
                <w:sz w:val="22"/>
                <w:szCs w:val="22"/>
                <w:lang w:val="en-US"/>
              </w:rPr>
            </w:pPr>
            <w:r>
              <w:rPr>
                <w:rFonts w:ascii="Garamond" w:hAnsi="Garamond"/>
                <w:bCs/>
                <w:sz w:val="22"/>
                <w:szCs w:val="22"/>
                <w:lang w:val="en-US"/>
              </w:rPr>
              <w:t>Moves beyond surface-level communication to express a deeper level of insight</w:t>
            </w:r>
          </w:p>
        </w:tc>
        <w:tc>
          <w:tcPr>
            <w:tcW w:w="1620" w:type="dxa"/>
            <w:tcBorders>
              <w:left w:val="single" w:sz="2" w:space="0" w:color="000000"/>
              <w:bottom w:val="single" w:sz="2" w:space="0" w:color="000000"/>
            </w:tcBorders>
            <w:tcMar>
              <w:top w:w="55" w:type="dxa"/>
              <w:left w:w="55" w:type="dxa"/>
              <w:bottom w:w="55" w:type="dxa"/>
              <w:right w:w="55" w:type="dxa"/>
            </w:tcMar>
          </w:tcPr>
          <w:p w14:paraId="3A78411A" w14:textId="77777777" w:rsidR="00006215" w:rsidRDefault="00006215" w:rsidP="00773B23">
            <w:pPr>
              <w:pStyle w:val="Standard"/>
              <w:rPr>
                <w:rFonts w:ascii="Garamond" w:hAnsi="Garamond"/>
                <w:sz w:val="22"/>
                <w:szCs w:val="22"/>
              </w:rPr>
            </w:pPr>
          </w:p>
        </w:tc>
        <w:tc>
          <w:tcPr>
            <w:tcW w:w="1530" w:type="dxa"/>
            <w:tcBorders>
              <w:left w:val="single" w:sz="2" w:space="0" w:color="000000"/>
              <w:bottom w:val="single" w:sz="2" w:space="0" w:color="000000"/>
            </w:tcBorders>
            <w:tcMar>
              <w:top w:w="55" w:type="dxa"/>
              <w:left w:w="55" w:type="dxa"/>
              <w:bottom w:w="55" w:type="dxa"/>
              <w:right w:w="55" w:type="dxa"/>
            </w:tcMar>
          </w:tcPr>
          <w:p w14:paraId="326652C5" w14:textId="77777777" w:rsidR="00006215" w:rsidRDefault="00006215" w:rsidP="00773B23">
            <w:pPr>
              <w:pStyle w:val="Standard"/>
              <w:rPr>
                <w:rFonts w:ascii="Garamond" w:hAnsi="Garamond"/>
                <w:sz w:val="22"/>
                <w:szCs w:val="22"/>
              </w:rPr>
            </w:pPr>
          </w:p>
        </w:tc>
        <w:tc>
          <w:tcPr>
            <w:tcW w:w="1710" w:type="dxa"/>
            <w:tcBorders>
              <w:left w:val="single" w:sz="2" w:space="0" w:color="000000"/>
              <w:bottom w:val="single" w:sz="2" w:space="0" w:color="000000"/>
            </w:tcBorders>
            <w:tcMar>
              <w:top w:w="55" w:type="dxa"/>
              <w:left w:w="55" w:type="dxa"/>
              <w:bottom w:w="55" w:type="dxa"/>
              <w:right w:w="55" w:type="dxa"/>
            </w:tcMar>
          </w:tcPr>
          <w:p w14:paraId="1A821E9E" w14:textId="77777777" w:rsidR="00006215" w:rsidRDefault="00006215" w:rsidP="00773B23">
            <w:pPr>
              <w:pStyle w:val="Standard"/>
              <w:rPr>
                <w:rFonts w:ascii="Garamond" w:hAnsi="Garamond"/>
                <w:sz w:val="22"/>
                <w:szCs w:val="22"/>
              </w:rPr>
            </w:pPr>
          </w:p>
        </w:tc>
        <w:tc>
          <w:tcPr>
            <w:tcW w:w="149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CDD5F14" w14:textId="77777777" w:rsidR="00006215" w:rsidRDefault="00006215" w:rsidP="00773B23">
            <w:pPr>
              <w:pStyle w:val="Standard"/>
              <w:rPr>
                <w:rFonts w:ascii="Garamond" w:hAnsi="Garamond"/>
                <w:sz w:val="22"/>
                <w:szCs w:val="22"/>
              </w:rPr>
            </w:pPr>
          </w:p>
        </w:tc>
      </w:tr>
      <w:tr w:rsidR="00006215" w14:paraId="3A174800" w14:textId="77777777" w:rsidTr="00006215">
        <w:trPr>
          <w:trHeight w:val="1218"/>
        </w:trPr>
        <w:tc>
          <w:tcPr>
            <w:tcW w:w="2785" w:type="dxa"/>
            <w:tcBorders>
              <w:left w:val="single" w:sz="2" w:space="0" w:color="000000"/>
              <w:bottom w:val="single" w:sz="2" w:space="0" w:color="000000"/>
            </w:tcBorders>
            <w:tcMar>
              <w:top w:w="55" w:type="dxa"/>
              <w:left w:w="55" w:type="dxa"/>
              <w:bottom w:w="55" w:type="dxa"/>
              <w:right w:w="55" w:type="dxa"/>
            </w:tcMar>
          </w:tcPr>
          <w:p w14:paraId="30DC2D6F" w14:textId="77777777" w:rsidR="00006215" w:rsidRDefault="00006215" w:rsidP="00773B23">
            <w:pPr>
              <w:pStyle w:val="Standard"/>
              <w:rPr>
                <w:rFonts w:ascii="Garamond" w:hAnsi="Garamond"/>
                <w:b/>
                <w:sz w:val="22"/>
                <w:szCs w:val="22"/>
                <w:lang w:val="en-US"/>
              </w:rPr>
            </w:pPr>
            <w:r>
              <w:rPr>
                <w:rFonts w:ascii="Garamond" w:hAnsi="Garamond"/>
                <w:b/>
                <w:sz w:val="22"/>
                <w:szCs w:val="22"/>
                <w:lang w:val="en-US"/>
              </w:rPr>
              <w:t>Self-Reflection and Transformation</w:t>
            </w:r>
          </w:p>
          <w:p w14:paraId="09C7CF79" w14:textId="77777777" w:rsidR="00006215" w:rsidRPr="00A85B3E" w:rsidRDefault="00006215" w:rsidP="00773B23">
            <w:pPr>
              <w:pStyle w:val="Standard"/>
              <w:rPr>
                <w:rFonts w:ascii="Garamond" w:hAnsi="Garamond"/>
                <w:sz w:val="22"/>
                <w:szCs w:val="22"/>
                <w:lang w:val="en-US"/>
              </w:rPr>
            </w:pPr>
            <w:r w:rsidRPr="00A85B3E">
              <w:rPr>
                <w:rFonts w:ascii="Garamond" w:hAnsi="Garamond"/>
                <w:sz w:val="22"/>
                <w:szCs w:val="22"/>
                <w:lang w:val="en-US"/>
              </w:rPr>
              <w:t>Unde</w:t>
            </w:r>
            <w:r>
              <w:rPr>
                <w:rFonts w:ascii="Garamond" w:hAnsi="Garamond"/>
                <w:sz w:val="22"/>
                <w:szCs w:val="22"/>
                <w:lang w:val="en-US"/>
              </w:rPr>
              <w:t>rstands</w:t>
            </w:r>
            <w:r w:rsidRPr="00A85B3E">
              <w:rPr>
                <w:rFonts w:ascii="Garamond" w:hAnsi="Garamond"/>
                <w:sz w:val="22"/>
                <w:szCs w:val="22"/>
                <w:lang w:val="en-US"/>
              </w:rPr>
              <w:t xml:space="preserve"> how the individual connects to multiple </w:t>
            </w:r>
            <w:r>
              <w:rPr>
                <w:rFonts w:ascii="Garamond" w:hAnsi="Garamond"/>
                <w:sz w:val="22"/>
                <w:szCs w:val="22"/>
                <w:lang w:val="en-US"/>
              </w:rPr>
              <w:t xml:space="preserve">systems </w:t>
            </w:r>
            <w:r w:rsidRPr="00A85B3E">
              <w:rPr>
                <w:rFonts w:ascii="Garamond" w:hAnsi="Garamond"/>
                <w:sz w:val="22"/>
                <w:szCs w:val="22"/>
                <w:lang w:val="en-US"/>
              </w:rPr>
              <w:t>in a self-reflective and transformative way.</w:t>
            </w:r>
          </w:p>
        </w:tc>
        <w:tc>
          <w:tcPr>
            <w:tcW w:w="1620" w:type="dxa"/>
            <w:tcBorders>
              <w:left w:val="single" w:sz="2" w:space="0" w:color="000000"/>
              <w:bottom w:val="single" w:sz="2" w:space="0" w:color="000000"/>
            </w:tcBorders>
            <w:tcMar>
              <w:top w:w="55" w:type="dxa"/>
              <w:left w:w="55" w:type="dxa"/>
              <w:bottom w:w="55" w:type="dxa"/>
              <w:right w:w="55" w:type="dxa"/>
            </w:tcMar>
          </w:tcPr>
          <w:p w14:paraId="516F07C2" w14:textId="77777777" w:rsidR="00006215" w:rsidRDefault="00006215" w:rsidP="00773B23">
            <w:pPr>
              <w:pStyle w:val="Standard"/>
              <w:rPr>
                <w:rFonts w:ascii="Garamond" w:hAnsi="Garamond"/>
                <w:sz w:val="22"/>
                <w:szCs w:val="22"/>
              </w:rPr>
            </w:pPr>
          </w:p>
        </w:tc>
        <w:tc>
          <w:tcPr>
            <w:tcW w:w="1530" w:type="dxa"/>
            <w:tcBorders>
              <w:left w:val="single" w:sz="2" w:space="0" w:color="000000"/>
              <w:bottom w:val="single" w:sz="2" w:space="0" w:color="000000"/>
            </w:tcBorders>
            <w:tcMar>
              <w:top w:w="55" w:type="dxa"/>
              <w:left w:w="55" w:type="dxa"/>
              <w:bottom w:w="55" w:type="dxa"/>
              <w:right w:w="55" w:type="dxa"/>
            </w:tcMar>
          </w:tcPr>
          <w:p w14:paraId="2B897D29" w14:textId="77777777" w:rsidR="00006215" w:rsidRDefault="00006215" w:rsidP="00773B23">
            <w:pPr>
              <w:pStyle w:val="Standard"/>
              <w:rPr>
                <w:rFonts w:ascii="Garamond" w:hAnsi="Garamond"/>
                <w:sz w:val="22"/>
                <w:szCs w:val="22"/>
              </w:rPr>
            </w:pPr>
          </w:p>
        </w:tc>
        <w:tc>
          <w:tcPr>
            <w:tcW w:w="1710" w:type="dxa"/>
            <w:tcBorders>
              <w:left w:val="single" w:sz="2" w:space="0" w:color="000000"/>
              <w:bottom w:val="single" w:sz="2" w:space="0" w:color="000000"/>
            </w:tcBorders>
            <w:tcMar>
              <w:top w:w="55" w:type="dxa"/>
              <w:left w:w="55" w:type="dxa"/>
              <w:bottom w:w="55" w:type="dxa"/>
              <w:right w:w="55" w:type="dxa"/>
            </w:tcMar>
          </w:tcPr>
          <w:p w14:paraId="54936602" w14:textId="77777777" w:rsidR="00006215" w:rsidRDefault="00006215" w:rsidP="00773B23">
            <w:pPr>
              <w:pStyle w:val="Standard"/>
              <w:rPr>
                <w:rFonts w:ascii="Garamond" w:hAnsi="Garamond"/>
                <w:sz w:val="22"/>
                <w:szCs w:val="22"/>
              </w:rPr>
            </w:pPr>
          </w:p>
        </w:tc>
        <w:tc>
          <w:tcPr>
            <w:tcW w:w="149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5BD4BF2" w14:textId="77777777" w:rsidR="00006215" w:rsidRDefault="00006215" w:rsidP="00773B23">
            <w:pPr>
              <w:pStyle w:val="Standard"/>
              <w:rPr>
                <w:rFonts w:ascii="Garamond" w:hAnsi="Garamond"/>
                <w:sz w:val="22"/>
                <w:szCs w:val="22"/>
              </w:rPr>
            </w:pPr>
          </w:p>
        </w:tc>
      </w:tr>
    </w:tbl>
    <w:p w14:paraId="2A31ED9C" w14:textId="77777777" w:rsidR="00006215" w:rsidRDefault="00006215" w:rsidP="00006215">
      <w:pPr>
        <w:pStyle w:val="Standard"/>
        <w:jc w:val="center"/>
        <w:rPr>
          <w:rFonts w:ascii="Garamond" w:eastAsia="Arial" w:hAnsi="Garamond" w:cs="Arial"/>
          <w:b/>
          <w:sz w:val="22"/>
          <w:szCs w:val="22"/>
        </w:rPr>
      </w:pPr>
    </w:p>
    <w:p w14:paraId="587549B2" w14:textId="77777777" w:rsidR="00006215" w:rsidRDefault="00006215" w:rsidP="00006215">
      <w:pPr>
        <w:pStyle w:val="Standard"/>
        <w:jc w:val="center"/>
        <w:rPr>
          <w:rFonts w:ascii="Garamond" w:eastAsia="Arial" w:hAnsi="Garamond" w:cs="Arial"/>
          <w:b/>
          <w:sz w:val="22"/>
          <w:szCs w:val="22"/>
        </w:rPr>
      </w:pPr>
    </w:p>
    <w:p w14:paraId="26990B35" w14:textId="77777777" w:rsidR="00006215" w:rsidRDefault="00006215" w:rsidP="00006215">
      <w:pPr>
        <w:pStyle w:val="Standard"/>
        <w:rPr>
          <w:rFonts w:ascii="Garamond" w:hAnsi="Garamond"/>
          <w:sz w:val="22"/>
          <w:szCs w:val="22"/>
        </w:rPr>
      </w:pPr>
    </w:p>
    <w:p w14:paraId="584FA60D" w14:textId="77777777" w:rsidR="00006215" w:rsidRDefault="00006215" w:rsidP="00006215"/>
    <w:p w14:paraId="15306C61" w14:textId="77777777" w:rsidR="00D02806" w:rsidRDefault="00D02806" w:rsidP="00246BBB"/>
    <w:p w14:paraId="2E1C6C4D" w14:textId="77777777" w:rsidR="004C6FAD" w:rsidRDefault="004C6FAD" w:rsidP="00246BBB">
      <w:pPr>
        <w:rPr>
          <w:b/>
        </w:rPr>
      </w:pPr>
    </w:p>
    <w:p w14:paraId="53233EA0" w14:textId="77777777" w:rsidR="004C6FAD" w:rsidRDefault="004C6FAD" w:rsidP="00246BBB">
      <w:pPr>
        <w:rPr>
          <w:b/>
        </w:rPr>
      </w:pPr>
    </w:p>
    <w:p w14:paraId="0A2662E2" w14:textId="77777777" w:rsidR="004C6FAD" w:rsidRPr="00ED1A9D" w:rsidRDefault="004C6FAD" w:rsidP="00246BBB">
      <w:pPr>
        <w:rPr>
          <w:b/>
        </w:rPr>
      </w:pPr>
    </w:p>
    <w:sectPr w:rsidR="004C6FAD" w:rsidRPr="00ED1A9D" w:rsidSect="00467255">
      <w:footerReference w:type="even" r:id="rId11"/>
      <w:footerReference w:type="default" r:id="rId12"/>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einerichs, Scott" w:date="2018-09-04T07:03:00Z" w:initials="HS">
    <w:p w14:paraId="6349CBD8" w14:textId="39E37EA6" w:rsidR="00773B23" w:rsidRDefault="00773B23">
      <w:pPr>
        <w:pStyle w:val="CommentText"/>
      </w:pPr>
      <w:r>
        <w:rPr>
          <w:rStyle w:val="CommentReference"/>
        </w:rPr>
        <w:annotationRef/>
      </w:r>
      <w:r>
        <w:t>Con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49CB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7DA584" w16cid:durableId="20041D06"/>
  <w16cid:commentId w16cid:paraId="1751CAEE" w16cid:durableId="20041D07"/>
  <w16cid:commentId w16cid:paraId="31D440CE" w16cid:durableId="20041D08"/>
  <w16cid:commentId w16cid:paraId="4DA9C35B" w16cid:durableId="20041D09"/>
  <w16cid:commentId w16cid:paraId="6349CBD8" w16cid:durableId="20041D0C"/>
  <w16cid:commentId w16cid:paraId="5FD57A66" w16cid:durableId="20041D0D"/>
  <w16cid:commentId w16cid:paraId="7818DCAB" w16cid:durableId="20041D0E"/>
  <w16cid:commentId w16cid:paraId="7CCA3835" w16cid:durableId="20041EEC"/>
  <w16cid:commentId w16cid:paraId="5A74293A" w16cid:durableId="20041D0F"/>
  <w16cid:commentId w16cid:paraId="6C583F5C" w16cid:durableId="20041D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98445" w14:textId="77777777" w:rsidR="002A2F13" w:rsidRDefault="002A2F13" w:rsidP="00467255">
      <w:r>
        <w:separator/>
      </w:r>
    </w:p>
  </w:endnote>
  <w:endnote w:type="continuationSeparator" w:id="0">
    <w:p w14:paraId="4830D170" w14:textId="77777777" w:rsidR="002A2F13" w:rsidRDefault="002A2F13" w:rsidP="00467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C8571" w14:textId="77777777" w:rsidR="00773B23" w:rsidRDefault="00773B23" w:rsidP="00773B2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AA6CB6" w14:textId="77777777" w:rsidR="00773B23" w:rsidRDefault="00773B23" w:rsidP="004672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83AB5" w14:textId="289D4B03" w:rsidR="00773B23" w:rsidRPr="00467255" w:rsidRDefault="00773B23" w:rsidP="00773B23">
    <w:pPr>
      <w:pStyle w:val="Footer"/>
      <w:framePr w:wrap="none" w:vAnchor="text" w:hAnchor="margin" w:xAlign="right" w:y="1"/>
      <w:rPr>
        <w:rStyle w:val="PageNumber"/>
        <w:sz w:val="16"/>
        <w:szCs w:val="16"/>
      </w:rPr>
    </w:pPr>
    <w:r w:rsidRPr="00467255">
      <w:rPr>
        <w:rStyle w:val="PageNumber"/>
        <w:sz w:val="16"/>
        <w:szCs w:val="16"/>
      </w:rPr>
      <w:fldChar w:fldCharType="begin"/>
    </w:r>
    <w:r w:rsidRPr="00467255">
      <w:rPr>
        <w:rStyle w:val="PageNumber"/>
        <w:sz w:val="16"/>
        <w:szCs w:val="16"/>
      </w:rPr>
      <w:instrText xml:space="preserve">PAGE  </w:instrText>
    </w:r>
    <w:r w:rsidRPr="00467255">
      <w:rPr>
        <w:rStyle w:val="PageNumber"/>
        <w:sz w:val="16"/>
        <w:szCs w:val="16"/>
      </w:rPr>
      <w:fldChar w:fldCharType="separate"/>
    </w:r>
    <w:r w:rsidR="00740813">
      <w:rPr>
        <w:rStyle w:val="PageNumber"/>
        <w:noProof/>
        <w:sz w:val="16"/>
        <w:szCs w:val="16"/>
      </w:rPr>
      <w:t>14</w:t>
    </w:r>
    <w:r w:rsidRPr="00467255">
      <w:rPr>
        <w:rStyle w:val="PageNumber"/>
        <w:sz w:val="16"/>
        <w:szCs w:val="16"/>
      </w:rPr>
      <w:fldChar w:fldCharType="end"/>
    </w:r>
  </w:p>
  <w:p w14:paraId="64E0F810" w14:textId="6A14D0E8" w:rsidR="00773B23" w:rsidRPr="00467255" w:rsidRDefault="00773B23" w:rsidP="00467255">
    <w:pPr>
      <w:pStyle w:val="Footer"/>
      <w:ind w:right="360"/>
      <w:rPr>
        <w:sz w:val="16"/>
        <w:szCs w:val="16"/>
      </w:rPr>
    </w:pPr>
    <w:r w:rsidRPr="00467255">
      <w:rPr>
        <w:sz w:val="16"/>
        <w:szCs w:val="16"/>
      </w:rPr>
      <w:t>Gene</w:t>
    </w:r>
    <w:r>
      <w:rPr>
        <w:sz w:val="16"/>
        <w:szCs w:val="16"/>
      </w:rPr>
      <w:t xml:space="preserve">ral Education Assessment </w:t>
    </w:r>
    <w:r w:rsidRPr="00467255">
      <w:rPr>
        <w:sz w:val="16"/>
        <w:szCs w:val="16"/>
      </w:rPr>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37A95" w14:textId="77777777" w:rsidR="002A2F13" w:rsidRDefault="002A2F13" w:rsidP="00467255">
      <w:r>
        <w:separator/>
      </w:r>
    </w:p>
  </w:footnote>
  <w:footnote w:type="continuationSeparator" w:id="0">
    <w:p w14:paraId="54332C28" w14:textId="77777777" w:rsidR="002A2F13" w:rsidRDefault="002A2F13" w:rsidP="004672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2023"/>
    <w:multiLevelType w:val="hybridMultilevel"/>
    <w:tmpl w:val="35EE76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C53718"/>
    <w:multiLevelType w:val="hybridMultilevel"/>
    <w:tmpl w:val="C8C6F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8D5538"/>
    <w:multiLevelType w:val="hybridMultilevel"/>
    <w:tmpl w:val="F5043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BCA6D77"/>
    <w:multiLevelType w:val="hybridMultilevel"/>
    <w:tmpl w:val="75F49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1EB67B5"/>
    <w:multiLevelType w:val="hybridMultilevel"/>
    <w:tmpl w:val="AF4A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0D6C52"/>
    <w:multiLevelType w:val="hybridMultilevel"/>
    <w:tmpl w:val="48160A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inerichs, Scott">
    <w15:presenceInfo w15:providerId="AD" w15:userId="S-1-5-21-4233619015-2080383946-645500451-1586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7FA"/>
    <w:rsid w:val="000005DC"/>
    <w:rsid w:val="00006215"/>
    <w:rsid w:val="00021BEB"/>
    <w:rsid w:val="00032024"/>
    <w:rsid w:val="00051A0B"/>
    <w:rsid w:val="000B5242"/>
    <w:rsid w:val="000C316C"/>
    <w:rsid w:val="000C5FE2"/>
    <w:rsid w:val="000C661D"/>
    <w:rsid w:val="000C6B95"/>
    <w:rsid w:val="000D1D3F"/>
    <w:rsid w:val="000D1DD7"/>
    <w:rsid w:val="000D798B"/>
    <w:rsid w:val="000E2840"/>
    <w:rsid w:val="000F01DD"/>
    <w:rsid w:val="00104415"/>
    <w:rsid w:val="001072E5"/>
    <w:rsid w:val="00114684"/>
    <w:rsid w:val="00121187"/>
    <w:rsid w:val="001508FE"/>
    <w:rsid w:val="00174618"/>
    <w:rsid w:val="00194D12"/>
    <w:rsid w:val="001A2B54"/>
    <w:rsid w:val="001C1410"/>
    <w:rsid w:val="001C357C"/>
    <w:rsid w:val="001C4E6C"/>
    <w:rsid w:val="001C6E91"/>
    <w:rsid w:val="001E4244"/>
    <w:rsid w:val="001F3746"/>
    <w:rsid w:val="00220A24"/>
    <w:rsid w:val="00246BBB"/>
    <w:rsid w:val="00251BA0"/>
    <w:rsid w:val="00260845"/>
    <w:rsid w:val="00281958"/>
    <w:rsid w:val="00282391"/>
    <w:rsid w:val="00285A07"/>
    <w:rsid w:val="0029155C"/>
    <w:rsid w:val="002A0EEB"/>
    <w:rsid w:val="002A2F13"/>
    <w:rsid w:val="002A60EC"/>
    <w:rsid w:val="002A7294"/>
    <w:rsid w:val="002B7F94"/>
    <w:rsid w:val="002E0EBD"/>
    <w:rsid w:val="002E57B5"/>
    <w:rsid w:val="0030127E"/>
    <w:rsid w:val="00306953"/>
    <w:rsid w:val="00335FB3"/>
    <w:rsid w:val="00345CB1"/>
    <w:rsid w:val="00356DCB"/>
    <w:rsid w:val="00366A9B"/>
    <w:rsid w:val="003705AA"/>
    <w:rsid w:val="00372451"/>
    <w:rsid w:val="00385B46"/>
    <w:rsid w:val="003A3D5A"/>
    <w:rsid w:val="003C101E"/>
    <w:rsid w:val="003C1D74"/>
    <w:rsid w:val="003C5440"/>
    <w:rsid w:val="003D1D75"/>
    <w:rsid w:val="003D3FCC"/>
    <w:rsid w:val="003E0062"/>
    <w:rsid w:val="003E18B9"/>
    <w:rsid w:val="003E7A2B"/>
    <w:rsid w:val="003F29A3"/>
    <w:rsid w:val="003F6A3A"/>
    <w:rsid w:val="003F747F"/>
    <w:rsid w:val="00411213"/>
    <w:rsid w:val="0046345C"/>
    <w:rsid w:val="00467255"/>
    <w:rsid w:val="004744A9"/>
    <w:rsid w:val="00475F9C"/>
    <w:rsid w:val="00481368"/>
    <w:rsid w:val="00490633"/>
    <w:rsid w:val="004A6BC2"/>
    <w:rsid w:val="004C6FAD"/>
    <w:rsid w:val="004C7160"/>
    <w:rsid w:val="004E2F4F"/>
    <w:rsid w:val="004F7332"/>
    <w:rsid w:val="00502DFB"/>
    <w:rsid w:val="005110F6"/>
    <w:rsid w:val="00521D41"/>
    <w:rsid w:val="0053153F"/>
    <w:rsid w:val="005352DB"/>
    <w:rsid w:val="00540DBC"/>
    <w:rsid w:val="00545FC2"/>
    <w:rsid w:val="00546320"/>
    <w:rsid w:val="00551B69"/>
    <w:rsid w:val="00554C0D"/>
    <w:rsid w:val="00565B18"/>
    <w:rsid w:val="005667A8"/>
    <w:rsid w:val="00570AA7"/>
    <w:rsid w:val="00574FBF"/>
    <w:rsid w:val="005A116D"/>
    <w:rsid w:val="005C514D"/>
    <w:rsid w:val="00605243"/>
    <w:rsid w:val="006075BC"/>
    <w:rsid w:val="00614E14"/>
    <w:rsid w:val="00621468"/>
    <w:rsid w:val="00624D71"/>
    <w:rsid w:val="006331AA"/>
    <w:rsid w:val="00633D79"/>
    <w:rsid w:val="00640D73"/>
    <w:rsid w:val="00650CB8"/>
    <w:rsid w:val="006615CB"/>
    <w:rsid w:val="006973FF"/>
    <w:rsid w:val="006B2DEA"/>
    <w:rsid w:val="006D73DD"/>
    <w:rsid w:val="006D7547"/>
    <w:rsid w:val="006E3E39"/>
    <w:rsid w:val="006F0271"/>
    <w:rsid w:val="00721B50"/>
    <w:rsid w:val="00740813"/>
    <w:rsid w:val="0074752B"/>
    <w:rsid w:val="00773B23"/>
    <w:rsid w:val="00777D8F"/>
    <w:rsid w:val="00780BF6"/>
    <w:rsid w:val="00780F93"/>
    <w:rsid w:val="00784747"/>
    <w:rsid w:val="00785EDE"/>
    <w:rsid w:val="007901EA"/>
    <w:rsid w:val="00792232"/>
    <w:rsid w:val="007A6C75"/>
    <w:rsid w:val="007C1165"/>
    <w:rsid w:val="007C61AF"/>
    <w:rsid w:val="007D7BEB"/>
    <w:rsid w:val="007E09A2"/>
    <w:rsid w:val="007E1E4B"/>
    <w:rsid w:val="007E2217"/>
    <w:rsid w:val="00804D19"/>
    <w:rsid w:val="008510D8"/>
    <w:rsid w:val="00862EB4"/>
    <w:rsid w:val="00870544"/>
    <w:rsid w:val="00875B74"/>
    <w:rsid w:val="008861D5"/>
    <w:rsid w:val="00886982"/>
    <w:rsid w:val="008956D7"/>
    <w:rsid w:val="0089696F"/>
    <w:rsid w:val="00897D07"/>
    <w:rsid w:val="008A1C0A"/>
    <w:rsid w:val="008B3324"/>
    <w:rsid w:val="008B5CEA"/>
    <w:rsid w:val="008B78EE"/>
    <w:rsid w:val="008C71E3"/>
    <w:rsid w:val="008D1671"/>
    <w:rsid w:val="008E6777"/>
    <w:rsid w:val="009204D5"/>
    <w:rsid w:val="009317FA"/>
    <w:rsid w:val="009344A0"/>
    <w:rsid w:val="00954CAF"/>
    <w:rsid w:val="00955F42"/>
    <w:rsid w:val="009B3958"/>
    <w:rsid w:val="009B6535"/>
    <w:rsid w:val="009B6776"/>
    <w:rsid w:val="009C1EBE"/>
    <w:rsid w:val="009E3263"/>
    <w:rsid w:val="009E56A9"/>
    <w:rsid w:val="009F72C1"/>
    <w:rsid w:val="009F7411"/>
    <w:rsid w:val="00A02628"/>
    <w:rsid w:val="00A1322C"/>
    <w:rsid w:val="00A15896"/>
    <w:rsid w:val="00A216C1"/>
    <w:rsid w:val="00A23456"/>
    <w:rsid w:val="00A319F1"/>
    <w:rsid w:val="00A56AC0"/>
    <w:rsid w:val="00A70C06"/>
    <w:rsid w:val="00A72A2D"/>
    <w:rsid w:val="00A72FA2"/>
    <w:rsid w:val="00AA356B"/>
    <w:rsid w:val="00AD773D"/>
    <w:rsid w:val="00AE0053"/>
    <w:rsid w:val="00AE68C7"/>
    <w:rsid w:val="00AE7ED0"/>
    <w:rsid w:val="00AF3299"/>
    <w:rsid w:val="00AF6378"/>
    <w:rsid w:val="00B101DF"/>
    <w:rsid w:val="00B12BB9"/>
    <w:rsid w:val="00B2154D"/>
    <w:rsid w:val="00B22A6D"/>
    <w:rsid w:val="00B27859"/>
    <w:rsid w:val="00B27AA3"/>
    <w:rsid w:val="00B3364D"/>
    <w:rsid w:val="00B3459D"/>
    <w:rsid w:val="00B3527E"/>
    <w:rsid w:val="00B35F0E"/>
    <w:rsid w:val="00B3629F"/>
    <w:rsid w:val="00B42289"/>
    <w:rsid w:val="00B4419F"/>
    <w:rsid w:val="00B66F8E"/>
    <w:rsid w:val="00B76FC5"/>
    <w:rsid w:val="00B9090D"/>
    <w:rsid w:val="00BA02DF"/>
    <w:rsid w:val="00BB2BC9"/>
    <w:rsid w:val="00BE0FCD"/>
    <w:rsid w:val="00BE15F7"/>
    <w:rsid w:val="00BF10CA"/>
    <w:rsid w:val="00BF1269"/>
    <w:rsid w:val="00BF4C24"/>
    <w:rsid w:val="00BF6F10"/>
    <w:rsid w:val="00BF7FF9"/>
    <w:rsid w:val="00C142E7"/>
    <w:rsid w:val="00C17E3B"/>
    <w:rsid w:val="00C254CE"/>
    <w:rsid w:val="00C2553E"/>
    <w:rsid w:val="00C30D41"/>
    <w:rsid w:val="00C4104C"/>
    <w:rsid w:val="00C612E3"/>
    <w:rsid w:val="00C639FB"/>
    <w:rsid w:val="00C77810"/>
    <w:rsid w:val="00C86512"/>
    <w:rsid w:val="00CB450F"/>
    <w:rsid w:val="00CD1073"/>
    <w:rsid w:val="00CD4408"/>
    <w:rsid w:val="00CE01B1"/>
    <w:rsid w:val="00CE2FC1"/>
    <w:rsid w:val="00CE330F"/>
    <w:rsid w:val="00CF26FB"/>
    <w:rsid w:val="00CF2AF8"/>
    <w:rsid w:val="00CF5736"/>
    <w:rsid w:val="00D02806"/>
    <w:rsid w:val="00D430C9"/>
    <w:rsid w:val="00D436DB"/>
    <w:rsid w:val="00DB2E5B"/>
    <w:rsid w:val="00DC4F60"/>
    <w:rsid w:val="00E047FA"/>
    <w:rsid w:val="00E137D0"/>
    <w:rsid w:val="00E1797C"/>
    <w:rsid w:val="00E2007B"/>
    <w:rsid w:val="00E34AC1"/>
    <w:rsid w:val="00E45641"/>
    <w:rsid w:val="00E460D8"/>
    <w:rsid w:val="00E62C59"/>
    <w:rsid w:val="00E80EDE"/>
    <w:rsid w:val="00E8332D"/>
    <w:rsid w:val="00E926F2"/>
    <w:rsid w:val="00E95543"/>
    <w:rsid w:val="00EA3BC3"/>
    <w:rsid w:val="00EB0C18"/>
    <w:rsid w:val="00ED1A9D"/>
    <w:rsid w:val="00ED5893"/>
    <w:rsid w:val="00EE4A06"/>
    <w:rsid w:val="00F00578"/>
    <w:rsid w:val="00F056C0"/>
    <w:rsid w:val="00F61961"/>
    <w:rsid w:val="00F74E3B"/>
    <w:rsid w:val="00FB1E74"/>
    <w:rsid w:val="00FB4925"/>
    <w:rsid w:val="00FB69A7"/>
    <w:rsid w:val="00FC1C08"/>
    <w:rsid w:val="00FD5E74"/>
    <w:rsid w:val="00FE3C7F"/>
    <w:rsid w:val="00FE6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0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9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7255"/>
    <w:pPr>
      <w:tabs>
        <w:tab w:val="center" w:pos="4680"/>
        <w:tab w:val="right" w:pos="9360"/>
      </w:tabs>
    </w:pPr>
  </w:style>
  <w:style w:type="character" w:customStyle="1" w:styleId="HeaderChar">
    <w:name w:val="Header Char"/>
    <w:basedOn w:val="DefaultParagraphFont"/>
    <w:link w:val="Header"/>
    <w:uiPriority w:val="99"/>
    <w:rsid w:val="00467255"/>
  </w:style>
  <w:style w:type="paragraph" w:styleId="Footer">
    <w:name w:val="footer"/>
    <w:basedOn w:val="Normal"/>
    <w:link w:val="FooterChar"/>
    <w:uiPriority w:val="99"/>
    <w:unhideWhenUsed/>
    <w:rsid w:val="00467255"/>
    <w:pPr>
      <w:tabs>
        <w:tab w:val="center" w:pos="4680"/>
        <w:tab w:val="right" w:pos="9360"/>
      </w:tabs>
    </w:pPr>
  </w:style>
  <w:style w:type="character" w:customStyle="1" w:styleId="FooterChar">
    <w:name w:val="Footer Char"/>
    <w:basedOn w:val="DefaultParagraphFont"/>
    <w:link w:val="Footer"/>
    <w:uiPriority w:val="99"/>
    <w:rsid w:val="00467255"/>
  </w:style>
  <w:style w:type="character" w:styleId="PageNumber">
    <w:name w:val="page number"/>
    <w:basedOn w:val="DefaultParagraphFont"/>
    <w:uiPriority w:val="99"/>
    <w:semiHidden/>
    <w:unhideWhenUsed/>
    <w:rsid w:val="00467255"/>
  </w:style>
  <w:style w:type="paragraph" w:styleId="ListParagraph">
    <w:name w:val="List Paragraph"/>
    <w:basedOn w:val="Normal"/>
    <w:uiPriority w:val="34"/>
    <w:qFormat/>
    <w:rsid w:val="00E460D8"/>
    <w:pPr>
      <w:ind w:left="720"/>
      <w:contextualSpacing/>
    </w:pPr>
  </w:style>
  <w:style w:type="table" w:styleId="TableGrid">
    <w:name w:val="Table Grid"/>
    <w:basedOn w:val="TableNormal"/>
    <w:uiPriority w:val="39"/>
    <w:rsid w:val="006F027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06215"/>
    <w:pPr>
      <w:suppressAutoHyphens/>
      <w:autoSpaceDN w:val="0"/>
      <w:textAlignment w:val="baseline"/>
    </w:pPr>
    <w:rPr>
      <w:rFonts w:ascii="Times New Roman" w:eastAsia="Times New Roman" w:hAnsi="Times New Roman" w:cs="Times New Roman"/>
      <w:kern w:val="3"/>
      <w:lang w:val="ru-RU"/>
    </w:rPr>
  </w:style>
  <w:style w:type="character" w:styleId="CommentReference">
    <w:name w:val="annotation reference"/>
    <w:basedOn w:val="DefaultParagraphFont"/>
    <w:uiPriority w:val="99"/>
    <w:semiHidden/>
    <w:unhideWhenUsed/>
    <w:rsid w:val="00345CB1"/>
    <w:rPr>
      <w:sz w:val="16"/>
      <w:szCs w:val="16"/>
    </w:rPr>
  </w:style>
  <w:style w:type="paragraph" w:styleId="CommentText">
    <w:name w:val="annotation text"/>
    <w:basedOn w:val="Normal"/>
    <w:link w:val="CommentTextChar"/>
    <w:uiPriority w:val="99"/>
    <w:semiHidden/>
    <w:unhideWhenUsed/>
    <w:rsid w:val="00345CB1"/>
    <w:rPr>
      <w:sz w:val="20"/>
      <w:szCs w:val="20"/>
    </w:rPr>
  </w:style>
  <w:style w:type="character" w:customStyle="1" w:styleId="CommentTextChar">
    <w:name w:val="Comment Text Char"/>
    <w:basedOn w:val="DefaultParagraphFont"/>
    <w:link w:val="CommentText"/>
    <w:uiPriority w:val="99"/>
    <w:semiHidden/>
    <w:rsid w:val="00345CB1"/>
    <w:rPr>
      <w:sz w:val="20"/>
      <w:szCs w:val="20"/>
    </w:rPr>
  </w:style>
  <w:style w:type="paragraph" w:styleId="CommentSubject">
    <w:name w:val="annotation subject"/>
    <w:basedOn w:val="CommentText"/>
    <w:next w:val="CommentText"/>
    <w:link w:val="CommentSubjectChar"/>
    <w:uiPriority w:val="99"/>
    <w:semiHidden/>
    <w:unhideWhenUsed/>
    <w:rsid w:val="00345CB1"/>
    <w:rPr>
      <w:b/>
      <w:bCs/>
    </w:rPr>
  </w:style>
  <w:style w:type="character" w:customStyle="1" w:styleId="CommentSubjectChar">
    <w:name w:val="Comment Subject Char"/>
    <w:basedOn w:val="CommentTextChar"/>
    <w:link w:val="CommentSubject"/>
    <w:uiPriority w:val="99"/>
    <w:semiHidden/>
    <w:rsid w:val="00345CB1"/>
    <w:rPr>
      <w:b/>
      <w:bCs/>
      <w:sz w:val="20"/>
      <w:szCs w:val="20"/>
    </w:rPr>
  </w:style>
  <w:style w:type="paragraph" w:styleId="BalloonText">
    <w:name w:val="Balloon Text"/>
    <w:basedOn w:val="Normal"/>
    <w:link w:val="BalloonTextChar"/>
    <w:uiPriority w:val="99"/>
    <w:semiHidden/>
    <w:unhideWhenUsed/>
    <w:rsid w:val="00345C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CB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9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7255"/>
    <w:pPr>
      <w:tabs>
        <w:tab w:val="center" w:pos="4680"/>
        <w:tab w:val="right" w:pos="9360"/>
      </w:tabs>
    </w:pPr>
  </w:style>
  <w:style w:type="character" w:customStyle="1" w:styleId="HeaderChar">
    <w:name w:val="Header Char"/>
    <w:basedOn w:val="DefaultParagraphFont"/>
    <w:link w:val="Header"/>
    <w:uiPriority w:val="99"/>
    <w:rsid w:val="00467255"/>
  </w:style>
  <w:style w:type="paragraph" w:styleId="Footer">
    <w:name w:val="footer"/>
    <w:basedOn w:val="Normal"/>
    <w:link w:val="FooterChar"/>
    <w:uiPriority w:val="99"/>
    <w:unhideWhenUsed/>
    <w:rsid w:val="00467255"/>
    <w:pPr>
      <w:tabs>
        <w:tab w:val="center" w:pos="4680"/>
        <w:tab w:val="right" w:pos="9360"/>
      </w:tabs>
    </w:pPr>
  </w:style>
  <w:style w:type="character" w:customStyle="1" w:styleId="FooterChar">
    <w:name w:val="Footer Char"/>
    <w:basedOn w:val="DefaultParagraphFont"/>
    <w:link w:val="Footer"/>
    <w:uiPriority w:val="99"/>
    <w:rsid w:val="00467255"/>
  </w:style>
  <w:style w:type="character" w:styleId="PageNumber">
    <w:name w:val="page number"/>
    <w:basedOn w:val="DefaultParagraphFont"/>
    <w:uiPriority w:val="99"/>
    <w:semiHidden/>
    <w:unhideWhenUsed/>
    <w:rsid w:val="00467255"/>
  </w:style>
  <w:style w:type="paragraph" w:styleId="ListParagraph">
    <w:name w:val="List Paragraph"/>
    <w:basedOn w:val="Normal"/>
    <w:uiPriority w:val="34"/>
    <w:qFormat/>
    <w:rsid w:val="00E460D8"/>
    <w:pPr>
      <w:ind w:left="720"/>
      <w:contextualSpacing/>
    </w:pPr>
  </w:style>
  <w:style w:type="table" w:styleId="TableGrid">
    <w:name w:val="Table Grid"/>
    <w:basedOn w:val="TableNormal"/>
    <w:uiPriority w:val="39"/>
    <w:rsid w:val="006F027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06215"/>
    <w:pPr>
      <w:suppressAutoHyphens/>
      <w:autoSpaceDN w:val="0"/>
      <w:textAlignment w:val="baseline"/>
    </w:pPr>
    <w:rPr>
      <w:rFonts w:ascii="Times New Roman" w:eastAsia="Times New Roman" w:hAnsi="Times New Roman" w:cs="Times New Roman"/>
      <w:kern w:val="3"/>
      <w:lang w:val="ru-RU"/>
    </w:rPr>
  </w:style>
  <w:style w:type="character" w:styleId="CommentReference">
    <w:name w:val="annotation reference"/>
    <w:basedOn w:val="DefaultParagraphFont"/>
    <w:uiPriority w:val="99"/>
    <w:semiHidden/>
    <w:unhideWhenUsed/>
    <w:rsid w:val="00345CB1"/>
    <w:rPr>
      <w:sz w:val="16"/>
      <w:szCs w:val="16"/>
    </w:rPr>
  </w:style>
  <w:style w:type="paragraph" w:styleId="CommentText">
    <w:name w:val="annotation text"/>
    <w:basedOn w:val="Normal"/>
    <w:link w:val="CommentTextChar"/>
    <w:uiPriority w:val="99"/>
    <w:semiHidden/>
    <w:unhideWhenUsed/>
    <w:rsid w:val="00345CB1"/>
    <w:rPr>
      <w:sz w:val="20"/>
      <w:szCs w:val="20"/>
    </w:rPr>
  </w:style>
  <w:style w:type="character" w:customStyle="1" w:styleId="CommentTextChar">
    <w:name w:val="Comment Text Char"/>
    <w:basedOn w:val="DefaultParagraphFont"/>
    <w:link w:val="CommentText"/>
    <w:uiPriority w:val="99"/>
    <w:semiHidden/>
    <w:rsid w:val="00345CB1"/>
    <w:rPr>
      <w:sz w:val="20"/>
      <w:szCs w:val="20"/>
    </w:rPr>
  </w:style>
  <w:style w:type="paragraph" w:styleId="CommentSubject">
    <w:name w:val="annotation subject"/>
    <w:basedOn w:val="CommentText"/>
    <w:next w:val="CommentText"/>
    <w:link w:val="CommentSubjectChar"/>
    <w:uiPriority w:val="99"/>
    <w:semiHidden/>
    <w:unhideWhenUsed/>
    <w:rsid w:val="00345CB1"/>
    <w:rPr>
      <w:b/>
      <w:bCs/>
    </w:rPr>
  </w:style>
  <w:style w:type="character" w:customStyle="1" w:styleId="CommentSubjectChar">
    <w:name w:val="Comment Subject Char"/>
    <w:basedOn w:val="CommentTextChar"/>
    <w:link w:val="CommentSubject"/>
    <w:uiPriority w:val="99"/>
    <w:semiHidden/>
    <w:rsid w:val="00345CB1"/>
    <w:rPr>
      <w:b/>
      <w:bCs/>
      <w:sz w:val="20"/>
      <w:szCs w:val="20"/>
    </w:rPr>
  </w:style>
  <w:style w:type="paragraph" w:styleId="BalloonText">
    <w:name w:val="Balloon Text"/>
    <w:basedOn w:val="Normal"/>
    <w:link w:val="BalloonTextChar"/>
    <w:uiPriority w:val="99"/>
    <w:semiHidden/>
    <w:unhideWhenUsed/>
    <w:rsid w:val="00345C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C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27073">
      <w:bodyDiv w:val="1"/>
      <w:marLeft w:val="0"/>
      <w:marRight w:val="0"/>
      <w:marTop w:val="0"/>
      <w:marBottom w:val="0"/>
      <w:divBdr>
        <w:top w:val="none" w:sz="0" w:space="0" w:color="auto"/>
        <w:left w:val="none" w:sz="0" w:space="0" w:color="auto"/>
        <w:bottom w:val="none" w:sz="0" w:space="0" w:color="auto"/>
        <w:right w:val="none" w:sz="0" w:space="0" w:color="auto"/>
      </w:divBdr>
    </w:div>
    <w:div w:id="297221935">
      <w:bodyDiv w:val="1"/>
      <w:marLeft w:val="0"/>
      <w:marRight w:val="0"/>
      <w:marTop w:val="0"/>
      <w:marBottom w:val="0"/>
      <w:divBdr>
        <w:top w:val="none" w:sz="0" w:space="0" w:color="auto"/>
        <w:left w:val="none" w:sz="0" w:space="0" w:color="auto"/>
        <w:bottom w:val="none" w:sz="0" w:space="0" w:color="auto"/>
        <w:right w:val="none" w:sz="0" w:space="0" w:color="auto"/>
      </w:divBdr>
    </w:div>
    <w:div w:id="350953651">
      <w:bodyDiv w:val="1"/>
      <w:marLeft w:val="0"/>
      <w:marRight w:val="0"/>
      <w:marTop w:val="0"/>
      <w:marBottom w:val="0"/>
      <w:divBdr>
        <w:top w:val="none" w:sz="0" w:space="0" w:color="auto"/>
        <w:left w:val="none" w:sz="0" w:space="0" w:color="auto"/>
        <w:bottom w:val="none" w:sz="0" w:space="0" w:color="auto"/>
        <w:right w:val="none" w:sz="0" w:space="0" w:color="auto"/>
      </w:divBdr>
    </w:div>
    <w:div w:id="997806217">
      <w:bodyDiv w:val="1"/>
      <w:marLeft w:val="0"/>
      <w:marRight w:val="0"/>
      <w:marTop w:val="0"/>
      <w:marBottom w:val="0"/>
      <w:divBdr>
        <w:top w:val="none" w:sz="0" w:space="0" w:color="auto"/>
        <w:left w:val="none" w:sz="0" w:space="0" w:color="auto"/>
        <w:bottom w:val="none" w:sz="0" w:space="0" w:color="auto"/>
        <w:right w:val="none" w:sz="0" w:space="0" w:color="auto"/>
      </w:divBdr>
    </w:div>
    <w:div w:id="1177692645">
      <w:bodyDiv w:val="1"/>
      <w:marLeft w:val="0"/>
      <w:marRight w:val="0"/>
      <w:marTop w:val="0"/>
      <w:marBottom w:val="0"/>
      <w:divBdr>
        <w:top w:val="none" w:sz="0" w:space="0" w:color="auto"/>
        <w:left w:val="none" w:sz="0" w:space="0" w:color="auto"/>
        <w:bottom w:val="none" w:sz="0" w:space="0" w:color="auto"/>
        <w:right w:val="none" w:sz="0" w:space="0" w:color="auto"/>
      </w:divBdr>
    </w:div>
    <w:div w:id="1188105857">
      <w:bodyDiv w:val="1"/>
      <w:marLeft w:val="0"/>
      <w:marRight w:val="0"/>
      <w:marTop w:val="0"/>
      <w:marBottom w:val="0"/>
      <w:divBdr>
        <w:top w:val="none" w:sz="0" w:space="0" w:color="auto"/>
        <w:left w:val="none" w:sz="0" w:space="0" w:color="auto"/>
        <w:bottom w:val="none" w:sz="0" w:space="0" w:color="auto"/>
        <w:right w:val="none" w:sz="0" w:space="0" w:color="auto"/>
      </w:divBdr>
    </w:div>
    <w:div w:id="1246458582">
      <w:bodyDiv w:val="1"/>
      <w:marLeft w:val="0"/>
      <w:marRight w:val="0"/>
      <w:marTop w:val="0"/>
      <w:marBottom w:val="0"/>
      <w:divBdr>
        <w:top w:val="none" w:sz="0" w:space="0" w:color="auto"/>
        <w:left w:val="none" w:sz="0" w:space="0" w:color="auto"/>
        <w:bottom w:val="none" w:sz="0" w:space="0" w:color="auto"/>
        <w:right w:val="none" w:sz="0" w:space="0" w:color="auto"/>
      </w:divBdr>
    </w:div>
    <w:div w:id="1416509927">
      <w:bodyDiv w:val="1"/>
      <w:marLeft w:val="0"/>
      <w:marRight w:val="0"/>
      <w:marTop w:val="0"/>
      <w:marBottom w:val="0"/>
      <w:divBdr>
        <w:top w:val="none" w:sz="0" w:space="0" w:color="auto"/>
        <w:left w:val="none" w:sz="0" w:space="0" w:color="auto"/>
        <w:bottom w:val="none" w:sz="0" w:space="0" w:color="auto"/>
        <w:right w:val="none" w:sz="0" w:space="0" w:color="auto"/>
      </w:divBdr>
    </w:div>
    <w:div w:id="1520268556">
      <w:bodyDiv w:val="1"/>
      <w:marLeft w:val="0"/>
      <w:marRight w:val="0"/>
      <w:marTop w:val="0"/>
      <w:marBottom w:val="0"/>
      <w:divBdr>
        <w:top w:val="none" w:sz="0" w:space="0" w:color="auto"/>
        <w:left w:val="none" w:sz="0" w:space="0" w:color="auto"/>
        <w:bottom w:val="none" w:sz="0" w:space="0" w:color="auto"/>
        <w:right w:val="none" w:sz="0" w:space="0" w:color="auto"/>
      </w:divBdr>
    </w:div>
    <w:div w:id="1663460783">
      <w:bodyDiv w:val="1"/>
      <w:marLeft w:val="0"/>
      <w:marRight w:val="0"/>
      <w:marTop w:val="0"/>
      <w:marBottom w:val="0"/>
      <w:divBdr>
        <w:top w:val="none" w:sz="0" w:space="0" w:color="auto"/>
        <w:left w:val="none" w:sz="0" w:space="0" w:color="auto"/>
        <w:bottom w:val="none" w:sz="0" w:space="0" w:color="auto"/>
        <w:right w:val="none" w:sz="0" w:space="0" w:color="auto"/>
      </w:divBdr>
    </w:div>
    <w:div w:id="18601916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4338</Words>
  <Characters>24732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29012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West Chester University</cp:lastModifiedBy>
  <cp:revision>2</cp:revision>
  <cp:lastPrinted>2018-08-31T14:42:00Z</cp:lastPrinted>
  <dcterms:created xsi:type="dcterms:W3CDTF">2019-02-13T15:26:00Z</dcterms:created>
  <dcterms:modified xsi:type="dcterms:W3CDTF">2019-02-13T15:26:00Z</dcterms:modified>
</cp:coreProperties>
</file>