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55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0"/>
        <w:gridCol w:w="2592"/>
      </w:tblGrid>
      <w:tr w:rsidR="009E191D">
        <w:trPr>
          <w:trHeight w:val="280"/>
          <w:tblHeader/>
        </w:trPr>
        <w:tc>
          <w:tcPr>
            <w:tcW w:w="12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91D" w:rsidRPr="00C92657" w:rsidRDefault="00C92657" w:rsidP="00C92657">
            <w:pPr>
              <w:pStyle w:val="TableTitle1"/>
              <w:rPr>
                <w:b/>
                <w:u w:val="single"/>
              </w:rPr>
            </w:pPr>
            <w:bookmarkStart w:id="0" w:name="_GoBack"/>
            <w:bookmarkEnd w:id="0"/>
            <w:r w:rsidRPr="00C92657">
              <w:rPr>
                <w:b/>
                <w:i/>
                <w:sz w:val="38"/>
                <w:u w:val="single"/>
              </w:rPr>
              <w:t>Voices</w:t>
            </w:r>
            <w:r w:rsidRPr="00C92657">
              <w:rPr>
                <w:b/>
                <w:sz w:val="38"/>
                <w:u w:val="single"/>
              </w:rPr>
              <w:t xml:space="preserve"> Submission Rubric</w:t>
            </w:r>
          </w:p>
        </w:tc>
      </w:tr>
      <w:tr w:rsidR="00C92657" w:rsidTr="00C92657">
        <w:tblPrEx>
          <w:shd w:val="clear" w:color="auto" w:fill="3F3F3F"/>
        </w:tblPrEx>
        <w:trPr>
          <w:trHeight w:val="1106"/>
          <w:tblHeader/>
        </w:trPr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57" w:rsidRDefault="00C92657" w:rsidP="00C92657">
            <w:pPr>
              <w:pStyle w:val="TableStyle5"/>
              <w:jc w:val="center"/>
            </w:pPr>
            <w:r w:rsidRPr="00C92657">
              <w:rPr>
                <w:sz w:val="30"/>
              </w:rPr>
              <w:t>Criteria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57" w:rsidRDefault="00C92657" w:rsidP="00C92657">
            <w:pPr>
              <w:pStyle w:val="TableStyle5"/>
              <w:jc w:val="center"/>
            </w:pPr>
            <w:r>
              <w:t>Ready for the Reviewing Process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57" w:rsidRDefault="00C92657" w:rsidP="00461A8B">
            <w:pPr>
              <w:pStyle w:val="TableStyle5"/>
              <w:jc w:val="center"/>
            </w:pPr>
            <w:r>
              <w:t>Requires Some Revision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57" w:rsidRDefault="00C92657" w:rsidP="00C92657">
            <w:pPr>
              <w:pStyle w:val="TableStyle5"/>
              <w:jc w:val="center"/>
            </w:pPr>
            <w:r>
              <w:t>Requires Extensive Revisions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57" w:rsidRDefault="00C92657" w:rsidP="00461A8B">
            <w:pPr>
              <w:pStyle w:val="TableStyle5"/>
              <w:jc w:val="center"/>
            </w:pPr>
            <w:r>
              <w:t xml:space="preserve">Not Appropriate for </w:t>
            </w:r>
            <w:r>
              <w:rPr>
                <w:i/>
                <w:iCs/>
              </w:rPr>
              <w:t xml:space="preserve">Voices, </w:t>
            </w:r>
            <w:r>
              <w:rPr>
                <w:b w:val="0"/>
                <w:bCs w:val="0"/>
              </w:rPr>
              <w:t>see below for details</w:t>
            </w:r>
          </w:p>
        </w:tc>
      </w:tr>
      <w:tr w:rsidR="00C92657" w:rsidTr="00C92657">
        <w:trPr>
          <w:trHeight w:val="1106"/>
        </w:trPr>
        <w:tc>
          <w:tcPr>
            <w:tcW w:w="25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57" w:rsidRDefault="00C92657" w:rsidP="00C92657">
            <w:pPr>
              <w:pStyle w:val="TableStyle5"/>
              <w:jc w:val="center"/>
            </w:pPr>
            <w:r>
              <w:t>Grammar and Sentence Construction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 xml:space="preserve">Spelling, grammar, and language are consistent with graduate-level writing. Prose is clear, readable. </w:t>
            </w:r>
          </w:p>
        </w:tc>
        <w:tc>
          <w:tcPr>
            <w:tcW w:w="259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>The writing is competent, but</w:t>
            </w:r>
            <w:r w:rsidR="00730956">
              <w:rPr>
                <w:rFonts w:eastAsia="Arial Unicode MS" w:cs="Arial Unicode MS"/>
              </w:rPr>
              <w:t xml:space="preserve"> undeveloped</w:t>
            </w:r>
            <w:r>
              <w:rPr>
                <w:rFonts w:eastAsia="Arial Unicode MS" w:cs="Arial Unicode MS"/>
              </w:rPr>
              <w:t xml:space="preserve">. Sentence structure is simplistic, but readable. </w:t>
            </w:r>
          </w:p>
        </w:tc>
        <w:tc>
          <w:tcPr>
            <w:tcW w:w="25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 xml:space="preserve">Numerous errors in spelling, usage, and punctuation. </w:t>
            </w:r>
          </w:p>
        </w:tc>
        <w:tc>
          <w:tcPr>
            <w:tcW w:w="25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/>
        </w:tc>
      </w:tr>
      <w:tr w:rsidR="00C92657" w:rsidTr="00C92657">
        <w:trPr>
          <w:trHeight w:val="1690"/>
        </w:trPr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57" w:rsidRDefault="00C92657" w:rsidP="00C92657">
            <w:pPr>
              <w:pStyle w:val="TableStyle5"/>
              <w:jc w:val="center"/>
            </w:pPr>
            <w:r>
              <w:t>Organization</w:t>
            </w:r>
          </w:p>
          <w:p w:rsidR="00C92657" w:rsidRDefault="00C92657" w:rsidP="00C92657">
            <w:pPr>
              <w:pStyle w:val="TableStyle5"/>
              <w:jc w:val="center"/>
            </w:pPr>
          </w:p>
        </w:tc>
        <w:tc>
          <w:tcPr>
            <w:tcW w:w="25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 xml:space="preserve">Well-organized with a compelling introduction, thesis, and body. Ample supporting evidence. </w:t>
            </w:r>
          </w:p>
        </w:tc>
        <w:tc>
          <w:tcPr>
            <w:tcW w:w="2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>The organization is fairly clear. The reader could outline the piece. Paragraphs have adequate development and are divided appropriately.</w:t>
            </w:r>
          </w:p>
          <w:p w:rsidR="00C92657" w:rsidRDefault="00C92657">
            <w:pPr>
              <w:pStyle w:val="TableStyle2"/>
            </w:pPr>
          </w:p>
        </w:tc>
        <w:tc>
          <w:tcPr>
            <w:tcW w:w="2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>Organization is deficient; lacking functional transitions, paragraphs are neither coherently developed nor arranged.</w:t>
            </w:r>
          </w:p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>Piece may greatly exceed stipulated word-count.</w:t>
            </w:r>
          </w:p>
        </w:tc>
        <w:tc>
          <w:tcPr>
            <w:tcW w:w="2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/>
        </w:tc>
      </w:tr>
      <w:tr w:rsidR="00C92657" w:rsidTr="00C92657">
        <w:trPr>
          <w:trHeight w:val="1450"/>
        </w:trPr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57" w:rsidRDefault="00C92657" w:rsidP="00C92657">
            <w:pPr>
              <w:pStyle w:val="TableStyle5"/>
              <w:jc w:val="center"/>
            </w:pPr>
            <w:r>
              <w:t>Social Work Values</w:t>
            </w:r>
          </w:p>
        </w:tc>
        <w:tc>
          <w:tcPr>
            <w:tcW w:w="25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>Appropriately conveys a social work perspective throughout the piece.</w:t>
            </w:r>
          </w:p>
        </w:tc>
        <w:tc>
          <w:tcPr>
            <w:tcW w:w="2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>Perspective is dissonant, displays some deficit in understanding Social Work’s core principles.</w:t>
            </w:r>
          </w:p>
        </w:tc>
        <w:tc>
          <w:tcPr>
            <w:tcW w:w="2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 w:rsidP="00C92657">
            <w:pPr>
              <w:pStyle w:val="TableStyle2"/>
            </w:pPr>
            <w:r>
              <w:rPr>
                <w:rFonts w:eastAsia="Arial Unicode MS" w:cs="Arial Unicode MS"/>
              </w:rPr>
              <w:t>Espouses ethics or principles that are decidedly inconsistent with social work “values,” per the NASW code of ethics.* Contains inflammatory or offensive language.</w:t>
            </w:r>
          </w:p>
        </w:tc>
        <w:tc>
          <w:tcPr>
            <w:tcW w:w="2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/>
        </w:tc>
      </w:tr>
      <w:tr w:rsidR="00C92657" w:rsidTr="00C92657">
        <w:trPr>
          <w:trHeight w:val="1448"/>
        </w:trPr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657" w:rsidRDefault="00C92657" w:rsidP="00C92657">
            <w:pPr>
              <w:pStyle w:val="TableStyle5"/>
              <w:jc w:val="center"/>
            </w:pPr>
            <w:r>
              <w:t>Relevancy/Content</w:t>
            </w:r>
          </w:p>
        </w:tc>
        <w:tc>
          <w:tcPr>
            <w:tcW w:w="259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>Topical, thoughtful and well-researched.</w:t>
            </w:r>
          </w:p>
        </w:tc>
        <w:tc>
          <w:tcPr>
            <w:tcW w:w="2591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>Topic is defined only generally. The supporting evidence may also be general, or presented in an illogical or circuitous manner.</w:t>
            </w:r>
          </w:p>
        </w:tc>
        <w:tc>
          <w:tcPr>
            <w:tcW w:w="2590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>
            <w:pPr>
              <w:pStyle w:val="TableStyle2"/>
            </w:pPr>
            <w:r>
              <w:rPr>
                <w:rFonts w:eastAsia="Arial Unicode MS" w:cs="Arial Unicode MS"/>
              </w:rPr>
              <w:t>Subject matter is irrelevant, flawed, or lacking in depth.</w:t>
            </w:r>
          </w:p>
        </w:tc>
        <w:tc>
          <w:tcPr>
            <w:tcW w:w="2592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657" w:rsidRDefault="00C92657"/>
        </w:tc>
      </w:tr>
    </w:tbl>
    <w:p w:rsidR="009E191D" w:rsidRDefault="007D3157">
      <w:pPr>
        <w:pStyle w:val="Body"/>
        <w:rPr>
          <w:sz w:val="20"/>
        </w:rPr>
      </w:pPr>
      <w:r w:rsidRPr="00C92657">
        <w:rPr>
          <w:sz w:val="20"/>
        </w:rPr>
        <w:lastRenderedPageBreak/>
        <w:t xml:space="preserve">*see the NASW website- </w:t>
      </w:r>
      <w:hyperlink r:id="rId6" w:history="1">
        <w:r w:rsidRPr="00C92657">
          <w:rPr>
            <w:rStyle w:val="Hyperlink0"/>
            <w:sz w:val="20"/>
          </w:rPr>
          <w:t>socialworkers.org</w:t>
        </w:r>
      </w:hyperlink>
      <w:r w:rsidRPr="00C92657">
        <w:rPr>
          <w:sz w:val="20"/>
        </w:rPr>
        <w:t xml:space="preserve">- for more extensive breakdown of social work principles. </w:t>
      </w:r>
    </w:p>
    <w:p w:rsidR="00C92657" w:rsidRPr="00C92657" w:rsidRDefault="00C92657">
      <w:pPr>
        <w:pStyle w:val="Body"/>
        <w:rPr>
          <w:sz w:val="20"/>
        </w:rPr>
      </w:pPr>
    </w:p>
    <w:p w:rsidR="009E191D" w:rsidRDefault="007D3157">
      <w:pPr>
        <w:pStyle w:val="Body"/>
      </w:pPr>
      <w:r w:rsidRPr="00C92657">
        <w:rPr>
          <w:b/>
          <w:sz w:val="20"/>
        </w:rPr>
        <w:t>NOTE:</w:t>
      </w:r>
      <w:r w:rsidRPr="00C92657">
        <w:rPr>
          <w:sz w:val="20"/>
        </w:rPr>
        <w:t xml:space="preserve"> Voices accepts a variety of pieces, from poetry to research to visual media. The rubric is meant as a general guide. The editorial team realizes that not all submissions will have “supporting evidence” or similar content. </w:t>
      </w:r>
    </w:p>
    <w:sectPr w:rsidR="009E191D">
      <w:pgSz w:w="15840" w:h="1224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08" w:rsidRDefault="00011F08">
      <w:r>
        <w:separator/>
      </w:r>
    </w:p>
  </w:endnote>
  <w:endnote w:type="continuationSeparator" w:id="0">
    <w:p w:rsidR="00011F08" w:rsidRDefault="0001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08" w:rsidRDefault="00011F08">
      <w:r>
        <w:separator/>
      </w:r>
    </w:p>
  </w:footnote>
  <w:footnote w:type="continuationSeparator" w:id="0">
    <w:p w:rsidR="00011F08" w:rsidRDefault="0001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D"/>
    <w:rsid w:val="00011F08"/>
    <w:rsid w:val="000D0C6B"/>
    <w:rsid w:val="004104D2"/>
    <w:rsid w:val="00730956"/>
    <w:rsid w:val="007D3157"/>
    <w:rsid w:val="00952DEA"/>
    <w:rsid w:val="009E191D"/>
    <w:rsid w:val="00C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0D49B-B991-4A15-A959-EBD2D698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5">
    <w:name w:val="Table Style 5"/>
    <w:rPr>
      <w:rFonts w:ascii="Helvetica" w:hAnsi="Helvetica" w:cs="Arial Unicode MS"/>
      <w:b/>
      <w:bCs/>
      <w:color w:val="FEFEF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TableTitle1">
    <w:name w:val="Table Title 1"/>
    <w:pPr>
      <w:jc w:val="center"/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C92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6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2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6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cialworker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Ocean, Mia</cp:lastModifiedBy>
  <cp:revision>2</cp:revision>
  <dcterms:created xsi:type="dcterms:W3CDTF">2016-10-09T19:12:00Z</dcterms:created>
  <dcterms:modified xsi:type="dcterms:W3CDTF">2016-10-09T19:12:00Z</dcterms:modified>
</cp:coreProperties>
</file>