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7D" w:rsidRDefault="00F3627D" w:rsidP="00F3627D">
      <w:pPr>
        <w:rPr>
          <w:rFonts w:eastAsia="Calibri" w:cs="Calibri"/>
          <w:sz w:val="20"/>
          <w:szCs w:val="20"/>
        </w:rPr>
      </w:pPr>
      <w:bookmarkStart w:id="0" w:name="_GoBack"/>
      <w:bookmarkEnd w:id="0"/>
    </w:p>
    <w:p w:rsidR="00F3627D" w:rsidRPr="00655862" w:rsidRDefault="00F3627D" w:rsidP="00F3627D">
      <w:pPr>
        <w:rPr>
          <w:rFonts w:eastAsia="Calibri" w:cs="Calibri"/>
          <w:sz w:val="20"/>
          <w:szCs w:val="20"/>
        </w:rPr>
      </w:pPr>
      <w:r w:rsidRPr="00655862">
        <w:rPr>
          <w:rFonts w:eastAsia="Calibri" w:cs="Calibri"/>
          <w:sz w:val="20"/>
          <w:szCs w:val="20"/>
        </w:rPr>
        <w:t>The following program costs are projected for the 2018-2019 academic year for full-time interns. Costs are estimated based on present tuition. Tuition is based per credit hour and technology fees.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1890"/>
        <w:gridCol w:w="2340"/>
      </w:tblGrid>
      <w:tr w:rsidR="00F3627D" w:rsidRPr="00655862" w:rsidTr="00267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3627D" w:rsidRPr="00655862" w:rsidRDefault="00F3627D" w:rsidP="002679BC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Per Credit</w:t>
            </w:r>
          </w:p>
        </w:tc>
        <w:tc>
          <w:tcPr>
            <w:tcW w:w="1980" w:type="dxa"/>
          </w:tcPr>
          <w:p w:rsidR="00F3627D" w:rsidRPr="00655862" w:rsidRDefault="00F3627D" w:rsidP="00267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Non-DI Courses</w:t>
            </w:r>
          </w:p>
        </w:tc>
        <w:tc>
          <w:tcPr>
            <w:tcW w:w="1890" w:type="dxa"/>
          </w:tcPr>
          <w:p w:rsidR="00F3627D" w:rsidRPr="00655862" w:rsidRDefault="00F3627D" w:rsidP="00267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In-State DI Course</w:t>
            </w:r>
          </w:p>
        </w:tc>
        <w:tc>
          <w:tcPr>
            <w:tcW w:w="2340" w:type="dxa"/>
          </w:tcPr>
          <w:p w:rsidR="00F3627D" w:rsidRPr="00655862" w:rsidRDefault="00F3627D" w:rsidP="00267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Out-of-State DI Course</w:t>
            </w:r>
          </w:p>
        </w:tc>
      </w:tr>
      <w:tr w:rsidR="00F3627D" w:rsidRPr="00655862" w:rsidTr="0026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3627D" w:rsidRPr="00655862" w:rsidRDefault="00F3627D" w:rsidP="002679BC">
            <w:pPr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 xml:space="preserve">Tuition </w:t>
            </w:r>
          </w:p>
        </w:tc>
        <w:tc>
          <w:tcPr>
            <w:tcW w:w="198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$500</w:t>
            </w:r>
          </w:p>
        </w:tc>
        <w:tc>
          <w:tcPr>
            <w:tcW w:w="189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$625</w:t>
            </w:r>
          </w:p>
        </w:tc>
        <w:tc>
          <w:tcPr>
            <w:tcW w:w="234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$750</w:t>
            </w:r>
          </w:p>
        </w:tc>
      </w:tr>
      <w:tr w:rsidR="00F3627D" w:rsidRPr="00655862" w:rsidTr="00267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3627D" w:rsidRPr="00655862" w:rsidRDefault="00F3627D" w:rsidP="002679BC">
            <w:pPr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Fees (</w:t>
            </w:r>
            <w:proofErr w:type="spellStart"/>
            <w:r w:rsidRPr="00655862">
              <w:rPr>
                <w:rFonts w:asciiTheme="minorHAnsi" w:hAnsiTheme="minorHAnsi"/>
                <w:sz w:val="20"/>
                <w:szCs w:val="20"/>
              </w:rPr>
              <w:t>ed</w:t>
            </w:r>
            <w:proofErr w:type="spellEnd"/>
            <w:r w:rsidRPr="00655862">
              <w:rPr>
                <w:rFonts w:asciiTheme="minorHAnsi" w:hAnsiTheme="minorHAnsi"/>
                <w:sz w:val="20"/>
                <w:szCs w:val="20"/>
              </w:rPr>
              <w:t xml:space="preserve"> services &amp; distance access)</w:t>
            </w:r>
          </w:p>
        </w:tc>
        <w:tc>
          <w:tcPr>
            <w:tcW w:w="1980" w:type="dxa"/>
          </w:tcPr>
          <w:p w:rsidR="00F3627D" w:rsidRPr="00655862" w:rsidRDefault="00F3627D" w:rsidP="00267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$154.05</w:t>
            </w:r>
          </w:p>
        </w:tc>
        <w:tc>
          <w:tcPr>
            <w:tcW w:w="1890" w:type="dxa"/>
          </w:tcPr>
          <w:p w:rsidR="00F3627D" w:rsidRPr="00655862" w:rsidRDefault="00F3627D" w:rsidP="00267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$172.80</w:t>
            </w:r>
          </w:p>
        </w:tc>
        <w:tc>
          <w:tcPr>
            <w:tcW w:w="2340" w:type="dxa"/>
          </w:tcPr>
          <w:p w:rsidR="00F3627D" w:rsidRPr="00655862" w:rsidRDefault="00F3627D" w:rsidP="00267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$191.55</w:t>
            </w:r>
          </w:p>
        </w:tc>
      </w:tr>
      <w:tr w:rsidR="00F3627D" w:rsidRPr="00655862" w:rsidTr="00267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F3627D" w:rsidRPr="00655862" w:rsidRDefault="00F3627D" w:rsidP="002679BC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98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$654.05</w:t>
            </w:r>
          </w:p>
        </w:tc>
        <w:tc>
          <w:tcPr>
            <w:tcW w:w="189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$797.80</w:t>
            </w:r>
          </w:p>
        </w:tc>
        <w:tc>
          <w:tcPr>
            <w:tcW w:w="2340" w:type="dxa"/>
          </w:tcPr>
          <w:p w:rsidR="00F3627D" w:rsidRPr="00655862" w:rsidRDefault="00F3627D" w:rsidP="00267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5862">
              <w:rPr>
                <w:rFonts w:asciiTheme="minorHAnsi" w:hAnsiTheme="minorHAnsi"/>
                <w:sz w:val="20"/>
                <w:szCs w:val="20"/>
              </w:rPr>
              <w:t>$941.55</w:t>
            </w:r>
          </w:p>
        </w:tc>
      </w:tr>
    </w:tbl>
    <w:p w:rsidR="00F3627D" w:rsidRPr="00655862" w:rsidRDefault="00F3627D" w:rsidP="00F3627D">
      <w:pPr>
        <w:rPr>
          <w:rFonts w:eastAsia="Calibri" w:cs="Calibri"/>
          <w:b/>
          <w:sz w:val="20"/>
          <w:szCs w:val="20"/>
        </w:rPr>
      </w:pPr>
    </w:p>
    <w:p w:rsidR="00F3627D" w:rsidRPr="00655862" w:rsidRDefault="00F3627D" w:rsidP="00F3627D">
      <w:pPr>
        <w:rPr>
          <w:rFonts w:eastAsia="Calibri" w:cs="Calibri"/>
          <w:sz w:val="20"/>
          <w:szCs w:val="20"/>
          <w:highlight w:val="yellow"/>
        </w:rPr>
      </w:pPr>
      <w:r w:rsidRPr="00655862">
        <w:rPr>
          <w:rFonts w:eastAsia="Calibri" w:cs="Calibri"/>
          <w:sz w:val="20"/>
          <w:szCs w:val="20"/>
        </w:rPr>
        <w:t xml:space="preserve">Additional expenses may include:  mandatory accident coverage, travel, lab coats, textbook and supplies, health insurance (purchased through the college), criminal background check, State Annual Meeting and </w:t>
      </w:r>
      <w:proofErr w:type="spellStart"/>
      <w:r w:rsidRPr="00655862">
        <w:rPr>
          <w:rFonts w:eastAsia="Calibri" w:cs="Calibri"/>
          <w:sz w:val="20"/>
          <w:szCs w:val="20"/>
        </w:rPr>
        <w:t>AND</w:t>
      </w:r>
      <w:proofErr w:type="spellEnd"/>
      <w:r w:rsidRPr="00655862">
        <w:rPr>
          <w:rFonts w:eastAsia="Calibri" w:cs="Calibri"/>
          <w:sz w:val="20"/>
          <w:szCs w:val="20"/>
        </w:rPr>
        <w:t xml:space="preserve"> membership. Estimates for these potential costs are listed below.</w:t>
      </w:r>
    </w:p>
    <w:tbl>
      <w:tblPr>
        <w:tblW w:w="5000" w:type="pct"/>
        <w:tblBorders>
          <w:top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2390"/>
        <w:gridCol w:w="2455"/>
      </w:tblGrid>
      <w:tr w:rsidR="00F3627D" w:rsidRPr="00655862" w:rsidTr="002679BC">
        <w:tc>
          <w:tcPr>
            <w:tcW w:w="68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Academy of Nutrition and Dietetics Student Membership</w:t>
            </w:r>
          </w:p>
        </w:tc>
        <w:tc>
          <w:tcPr>
            <w:tcW w:w="245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$50</w:t>
            </w:r>
          </w:p>
        </w:tc>
      </w:tr>
      <w:tr w:rsidR="00F3627D" w:rsidRPr="00655862" w:rsidTr="002679BC">
        <w:tc>
          <w:tcPr>
            <w:tcW w:w="68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Books and Supplies (estimate)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$300</w:t>
            </w:r>
          </w:p>
        </w:tc>
      </w:tr>
      <w:tr w:rsidR="00F3627D" w:rsidRPr="00655862" w:rsidTr="002679BC">
        <w:tc>
          <w:tcPr>
            <w:tcW w:w="687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Lab Coat/Name Tag (estimate)</w:t>
            </w:r>
          </w:p>
        </w:tc>
        <w:tc>
          <w:tcPr>
            <w:tcW w:w="245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$50</w:t>
            </w:r>
          </w:p>
        </w:tc>
      </w:tr>
      <w:tr w:rsidR="00F3627D" w:rsidRPr="00655862" w:rsidTr="002679BC">
        <w:tc>
          <w:tcPr>
            <w:tcW w:w="68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Liability Insurance (estimate)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$25</w:t>
            </w:r>
          </w:p>
        </w:tc>
      </w:tr>
      <w:tr w:rsidR="00F3627D" w:rsidRPr="00655862" w:rsidTr="002679BC">
        <w:tc>
          <w:tcPr>
            <w:tcW w:w="68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90" w:type="dxa"/>
              <w:left w:w="105" w:type="dxa"/>
              <w:bottom w:w="105" w:type="dxa"/>
              <w:right w:w="75" w:type="dxa"/>
            </w:tcMar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Background Check/fingerprinting (some facilities require) estimate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90" w:type="dxa"/>
              <w:left w:w="105" w:type="dxa"/>
              <w:bottom w:w="105" w:type="dxa"/>
              <w:right w:w="75" w:type="dxa"/>
            </w:tcMar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$100 to 125</w:t>
            </w:r>
          </w:p>
        </w:tc>
      </w:tr>
      <w:tr w:rsidR="00F3627D" w:rsidRPr="00655862" w:rsidTr="002679BC">
        <w:tc>
          <w:tcPr>
            <w:tcW w:w="68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spacing w:before="100" w:beforeAutospacing="1"/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Health Insurance*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 w:themeFill="accent1" w:themeFillTint="66"/>
            <w:tcMar>
              <w:top w:w="90" w:type="dxa"/>
              <w:left w:w="105" w:type="dxa"/>
              <w:bottom w:w="105" w:type="dxa"/>
              <w:right w:w="75" w:type="dxa"/>
            </w:tcMar>
            <w:hideMark/>
          </w:tcPr>
          <w:p w:rsidR="00F3627D" w:rsidRPr="00655862" w:rsidRDefault="00F3627D" w:rsidP="002679BC">
            <w:pPr>
              <w:spacing w:before="100" w:beforeAutospacing="1"/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Required variable cost.</w:t>
            </w:r>
          </w:p>
        </w:tc>
      </w:tr>
      <w:tr w:rsidR="00F3627D" w:rsidRPr="00655862" w:rsidTr="002679BC">
        <w:tc>
          <w:tcPr>
            <w:tcW w:w="4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90" w:type="dxa"/>
              <w:left w:w="105" w:type="dxa"/>
              <w:bottom w:w="105" w:type="dxa"/>
              <w:right w:w="75" w:type="dxa"/>
            </w:tcMar>
          </w:tcPr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Three-day in person Orientation (Required)</w:t>
            </w:r>
          </w:p>
        </w:tc>
        <w:tc>
          <w:tcPr>
            <w:tcW w:w="4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90" w:type="dxa"/>
              <w:left w:w="105" w:type="dxa"/>
              <w:bottom w:w="105" w:type="dxa"/>
              <w:right w:w="75" w:type="dxa"/>
            </w:tcMar>
          </w:tcPr>
          <w:p w:rsidR="00F3627D" w:rsidRPr="00655862" w:rsidRDefault="00F3627D" w:rsidP="002679BC">
            <w:pPr>
              <w:rPr>
                <w:b/>
                <w:sz w:val="20"/>
                <w:szCs w:val="20"/>
              </w:rPr>
            </w:pPr>
            <w:r w:rsidRPr="00655862">
              <w:rPr>
                <w:b/>
                <w:sz w:val="20"/>
                <w:szCs w:val="20"/>
              </w:rPr>
              <w:t>Budget for:</w:t>
            </w:r>
          </w:p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Transportation, housing (2 to 3 nights and food)</w:t>
            </w:r>
          </w:p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Travel will be the student responsibility and that cost will vary based on mode and distance of travel.</w:t>
            </w:r>
          </w:p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Estimated food and lodging: 2-3 nights-$300- 450 (146.06/night includes breakfast)</w:t>
            </w:r>
          </w:p>
          <w:p w:rsidR="00F3627D" w:rsidRPr="00655862" w:rsidRDefault="00F3627D" w:rsidP="002679BC">
            <w:pPr>
              <w:rPr>
                <w:sz w:val="20"/>
                <w:szCs w:val="20"/>
              </w:rPr>
            </w:pPr>
            <w:r w:rsidRPr="00655862">
              <w:rPr>
                <w:sz w:val="20"/>
                <w:szCs w:val="20"/>
              </w:rPr>
              <w:t>Potential food: $25.00- 50.00 per day (1-2 meals/day.</w:t>
            </w:r>
          </w:p>
        </w:tc>
      </w:tr>
    </w:tbl>
    <w:p w:rsidR="00F3627D" w:rsidRPr="00655862" w:rsidRDefault="00F3627D" w:rsidP="00F3627D">
      <w:pPr>
        <w:rPr>
          <w:sz w:val="20"/>
          <w:szCs w:val="20"/>
        </w:rPr>
      </w:pPr>
    </w:p>
    <w:p w:rsidR="001A7D79" w:rsidRDefault="001A7D79"/>
    <w:sectPr w:rsidR="001A7D79" w:rsidSect="00F3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D"/>
    <w:rsid w:val="001A7D79"/>
    <w:rsid w:val="00F3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54C3-C338-405F-86B4-6B071BBC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F3627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Jana F.</dc:creator>
  <cp:keywords/>
  <dc:description/>
  <cp:lastModifiedBy>Davis, Jana F.</cp:lastModifiedBy>
  <cp:revision>1</cp:revision>
  <dcterms:created xsi:type="dcterms:W3CDTF">2018-07-03T13:18:00Z</dcterms:created>
  <dcterms:modified xsi:type="dcterms:W3CDTF">2018-07-03T13:21:00Z</dcterms:modified>
</cp:coreProperties>
</file>